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D7" w:rsidRPr="000C2D73" w:rsidRDefault="004747FF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What do you know about options?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850"/>
      </w:tblGrid>
      <w:tr w:rsidR="003A28D7" w:rsidRPr="004747FF" w:rsidTr="00DE6A36">
        <w:tc>
          <w:tcPr>
            <w:tcW w:w="9242" w:type="dxa"/>
            <w:gridSpan w:val="2"/>
          </w:tcPr>
          <w:p w:rsidR="003A28D7" w:rsidRPr="004747FF" w:rsidRDefault="004747FF" w:rsidP="004747F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747FF">
              <w:rPr>
                <w:sz w:val="28"/>
                <w:szCs w:val="28"/>
              </w:rPr>
              <w:t>What type of option might oblige the writer to take delivery of the underlying asset upon exercise?</w:t>
            </w:r>
          </w:p>
        </w:tc>
      </w:tr>
      <w:tr w:rsidR="004747FF" w:rsidRPr="004747FF" w:rsidTr="004747FF">
        <w:tc>
          <w:tcPr>
            <w:tcW w:w="392" w:type="dxa"/>
            <w:vAlign w:val="center"/>
          </w:tcPr>
          <w:p w:rsidR="004747FF" w:rsidRPr="004747FF" w:rsidRDefault="004747FF" w:rsidP="0033060F">
            <w:pPr>
              <w:rPr>
                <w:color w:val="002060"/>
                <w:sz w:val="28"/>
                <w:szCs w:val="28"/>
              </w:rPr>
            </w:pPr>
            <w:r w:rsidRPr="004747FF">
              <w:rPr>
                <w:color w:val="002060"/>
                <w:sz w:val="28"/>
                <w:szCs w:val="28"/>
              </w:rPr>
              <w:t>A</w:t>
            </w:r>
          </w:p>
        </w:tc>
        <w:tc>
          <w:tcPr>
            <w:tcW w:w="8850" w:type="dxa"/>
            <w:vAlign w:val="center"/>
          </w:tcPr>
          <w:p w:rsidR="004747FF" w:rsidRPr="004747FF" w:rsidRDefault="004747FF" w:rsidP="00093298">
            <w:pPr>
              <w:spacing w:line="312" w:lineRule="atLeast"/>
              <w:rPr>
                <w:rFonts w:eastAsia="Times New Roman" w:cs="Arial"/>
                <w:color w:val="002060"/>
                <w:sz w:val="28"/>
                <w:szCs w:val="28"/>
              </w:rPr>
            </w:pPr>
            <w:r w:rsidRPr="004747FF">
              <w:rPr>
                <w:rFonts w:eastAsia="Times New Roman" w:cs="Arial"/>
                <w:bCs/>
                <w:color w:val="002060"/>
                <w:kern w:val="24"/>
                <w:sz w:val="28"/>
                <w:szCs w:val="28"/>
              </w:rPr>
              <w:t>Short option</w:t>
            </w:r>
          </w:p>
        </w:tc>
      </w:tr>
      <w:tr w:rsidR="004747FF" w:rsidRPr="004747FF" w:rsidTr="004747FF">
        <w:tc>
          <w:tcPr>
            <w:tcW w:w="392" w:type="dxa"/>
            <w:vAlign w:val="center"/>
          </w:tcPr>
          <w:p w:rsidR="004747FF" w:rsidRPr="004747FF" w:rsidRDefault="004747FF" w:rsidP="0033060F">
            <w:pPr>
              <w:rPr>
                <w:color w:val="002060"/>
                <w:sz w:val="28"/>
                <w:szCs w:val="28"/>
              </w:rPr>
            </w:pPr>
            <w:r w:rsidRPr="004747FF">
              <w:rPr>
                <w:color w:val="002060"/>
                <w:sz w:val="28"/>
                <w:szCs w:val="28"/>
              </w:rPr>
              <w:t>B</w:t>
            </w:r>
          </w:p>
        </w:tc>
        <w:tc>
          <w:tcPr>
            <w:tcW w:w="8850" w:type="dxa"/>
            <w:vAlign w:val="center"/>
          </w:tcPr>
          <w:p w:rsidR="004747FF" w:rsidRPr="004747FF" w:rsidRDefault="004747FF" w:rsidP="00093298">
            <w:pPr>
              <w:spacing w:line="312" w:lineRule="atLeast"/>
              <w:rPr>
                <w:rFonts w:eastAsia="Times New Roman" w:cs="Arial"/>
                <w:color w:val="002060"/>
                <w:sz w:val="28"/>
                <w:szCs w:val="28"/>
              </w:rPr>
            </w:pPr>
            <w:r w:rsidRPr="004747FF">
              <w:rPr>
                <w:rFonts w:eastAsia="Times New Roman" w:cs="Arial"/>
                <w:bCs/>
                <w:color w:val="002060"/>
                <w:kern w:val="24"/>
                <w:sz w:val="28"/>
                <w:szCs w:val="28"/>
              </w:rPr>
              <w:t>Long option</w:t>
            </w:r>
          </w:p>
        </w:tc>
      </w:tr>
      <w:tr w:rsidR="004747FF" w:rsidRPr="004747FF" w:rsidTr="004747FF">
        <w:tc>
          <w:tcPr>
            <w:tcW w:w="392" w:type="dxa"/>
            <w:vAlign w:val="center"/>
          </w:tcPr>
          <w:p w:rsidR="004747FF" w:rsidRPr="004747FF" w:rsidRDefault="004747FF" w:rsidP="0033060F">
            <w:pPr>
              <w:rPr>
                <w:color w:val="002060"/>
                <w:sz w:val="28"/>
                <w:szCs w:val="28"/>
              </w:rPr>
            </w:pPr>
            <w:r w:rsidRPr="004747FF">
              <w:rPr>
                <w:color w:val="002060"/>
                <w:sz w:val="28"/>
                <w:szCs w:val="28"/>
              </w:rPr>
              <w:t>C</w:t>
            </w:r>
          </w:p>
        </w:tc>
        <w:tc>
          <w:tcPr>
            <w:tcW w:w="8850" w:type="dxa"/>
            <w:vAlign w:val="center"/>
          </w:tcPr>
          <w:p w:rsidR="004747FF" w:rsidRPr="004747FF" w:rsidRDefault="004747FF" w:rsidP="00093298">
            <w:pPr>
              <w:spacing w:line="312" w:lineRule="atLeast"/>
              <w:rPr>
                <w:rFonts w:eastAsia="Times New Roman" w:cs="Arial"/>
                <w:color w:val="002060"/>
                <w:sz w:val="28"/>
                <w:szCs w:val="28"/>
              </w:rPr>
            </w:pPr>
            <w:r w:rsidRPr="004747FF">
              <w:rPr>
                <w:rFonts w:eastAsia="Times New Roman" w:cs="Arial"/>
                <w:bCs/>
                <w:color w:val="002060"/>
                <w:kern w:val="24"/>
                <w:sz w:val="28"/>
                <w:szCs w:val="28"/>
              </w:rPr>
              <w:t>Put option</w:t>
            </w:r>
          </w:p>
        </w:tc>
      </w:tr>
      <w:tr w:rsidR="004747FF" w:rsidRPr="004747FF" w:rsidTr="004747FF">
        <w:tc>
          <w:tcPr>
            <w:tcW w:w="392" w:type="dxa"/>
            <w:vAlign w:val="center"/>
          </w:tcPr>
          <w:p w:rsidR="004747FF" w:rsidRPr="004747FF" w:rsidRDefault="004747FF" w:rsidP="0033060F">
            <w:pPr>
              <w:rPr>
                <w:color w:val="002060"/>
                <w:sz w:val="28"/>
                <w:szCs w:val="28"/>
              </w:rPr>
            </w:pPr>
            <w:r w:rsidRPr="004747FF">
              <w:rPr>
                <w:color w:val="002060"/>
                <w:sz w:val="28"/>
                <w:szCs w:val="28"/>
              </w:rPr>
              <w:t>D</w:t>
            </w:r>
          </w:p>
        </w:tc>
        <w:tc>
          <w:tcPr>
            <w:tcW w:w="8850" w:type="dxa"/>
            <w:vAlign w:val="center"/>
          </w:tcPr>
          <w:p w:rsidR="004747FF" w:rsidRPr="004747FF" w:rsidRDefault="004747FF" w:rsidP="00093298">
            <w:pPr>
              <w:spacing w:line="312" w:lineRule="atLeast"/>
              <w:rPr>
                <w:rFonts w:eastAsia="Times New Roman" w:cs="Arial"/>
                <w:color w:val="002060"/>
                <w:sz w:val="28"/>
                <w:szCs w:val="28"/>
              </w:rPr>
            </w:pPr>
            <w:r w:rsidRPr="004747FF">
              <w:rPr>
                <w:rFonts w:eastAsia="Times New Roman" w:cs="Arial"/>
                <w:bCs/>
                <w:color w:val="002060"/>
                <w:kern w:val="24"/>
                <w:sz w:val="28"/>
                <w:szCs w:val="28"/>
              </w:rPr>
              <w:t>Call option</w:t>
            </w:r>
          </w:p>
        </w:tc>
      </w:tr>
    </w:tbl>
    <w:p w:rsidR="000E2886" w:rsidRPr="004747FF" w:rsidRDefault="000E2886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850"/>
      </w:tblGrid>
      <w:tr w:rsidR="000A33AE" w:rsidRPr="004747FF" w:rsidTr="00DE6A36">
        <w:tc>
          <w:tcPr>
            <w:tcW w:w="9242" w:type="dxa"/>
            <w:gridSpan w:val="2"/>
          </w:tcPr>
          <w:p w:rsidR="000A33AE" w:rsidRPr="004747FF" w:rsidRDefault="004747FF" w:rsidP="004747F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747FF">
              <w:rPr>
                <w:sz w:val="28"/>
                <w:szCs w:val="28"/>
              </w:rPr>
              <w:t>The “holder” of an option is another name for the;</w:t>
            </w:r>
          </w:p>
        </w:tc>
      </w:tr>
      <w:tr w:rsidR="004747FF" w:rsidRPr="004747FF" w:rsidTr="004747FF">
        <w:tc>
          <w:tcPr>
            <w:tcW w:w="392" w:type="dxa"/>
            <w:vAlign w:val="center"/>
          </w:tcPr>
          <w:p w:rsidR="004747FF" w:rsidRPr="004747FF" w:rsidRDefault="004747FF" w:rsidP="00D635C9">
            <w:pPr>
              <w:rPr>
                <w:color w:val="002060"/>
                <w:sz w:val="28"/>
                <w:szCs w:val="28"/>
              </w:rPr>
            </w:pPr>
            <w:r w:rsidRPr="004747FF">
              <w:rPr>
                <w:color w:val="002060"/>
                <w:sz w:val="28"/>
                <w:szCs w:val="28"/>
              </w:rPr>
              <w:t>A</w:t>
            </w:r>
          </w:p>
        </w:tc>
        <w:tc>
          <w:tcPr>
            <w:tcW w:w="8850" w:type="dxa"/>
            <w:vAlign w:val="center"/>
          </w:tcPr>
          <w:p w:rsidR="004747FF" w:rsidRPr="004747FF" w:rsidRDefault="004747FF" w:rsidP="00093298">
            <w:pPr>
              <w:spacing w:line="322" w:lineRule="atLeast"/>
              <w:rPr>
                <w:rFonts w:eastAsia="Times New Roman" w:cs="Arial"/>
                <w:color w:val="002060"/>
                <w:sz w:val="28"/>
                <w:szCs w:val="28"/>
              </w:rPr>
            </w:pPr>
            <w:r w:rsidRPr="004747FF">
              <w:rPr>
                <w:rFonts w:eastAsia="Times New Roman" w:cs="Arial"/>
                <w:bCs/>
                <w:color w:val="002060"/>
                <w:kern w:val="24"/>
                <w:sz w:val="28"/>
                <w:szCs w:val="28"/>
              </w:rPr>
              <w:t>Writer</w:t>
            </w:r>
          </w:p>
        </w:tc>
      </w:tr>
      <w:tr w:rsidR="004747FF" w:rsidRPr="004747FF" w:rsidTr="004747FF">
        <w:tc>
          <w:tcPr>
            <w:tcW w:w="392" w:type="dxa"/>
            <w:vAlign w:val="center"/>
          </w:tcPr>
          <w:p w:rsidR="004747FF" w:rsidRPr="004747FF" w:rsidRDefault="004747FF" w:rsidP="00D635C9">
            <w:pPr>
              <w:rPr>
                <w:color w:val="002060"/>
                <w:sz w:val="28"/>
                <w:szCs w:val="28"/>
              </w:rPr>
            </w:pPr>
            <w:r w:rsidRPr="004747FF">
              <w:rPr>
                <w:color w:val="002060"/>
                <w:sz w:val="28"/>
                <w:szCs w:val="28"/>
              </w:rPr>
              <w:t>B</w:t>
            </w:r>
          </w:p>
        </w:tc>
        <w:tc>
          <w:tcPr>
            <w:tcW w:w="8850" w:type="dxa"/>
            <w:vAlign w:val="center"/>
          </w:tcPr>
          <w:p w:rsidR="004747FF" w:rsidRPr="004747FF" w:rsidRDefault="004747FF" w:rsidP="00093298">
            <w:pPr>
              <w:spacing w:line="298" w:lineRule="atLeast"/>
              <w:rPr>
                <w:rFonts w:eastAsia="Times New Roman" w:cs="Arial"/>
                <w:color w:val="002060"/>
                <w:sz w:val="28"/>
                <w:szCs w:val="28"/>
              </w:rPr>
            </w:pPr>
            <w:r w:rsidRPr="004747FF">
              <w:rPr>
                <w:rFonts w:eastAsia="Times New Roman" w:cs="Arial"/>
                <w:bCs/>
                <w:color w:val="002060"/>
                <w:kern w:val="24"/>
                <w:sz w:val="28"/>
                <w:szCs w:val="28"/>
              </w:rPr>
              <w:t>Buyer</w:t>
            </w:r>
          </w:p>
        </w:tc>
      </w:tr>
      <w:tr w:rsidR="004747FF" w:rsidRPr="004747FF" w:rsidTr="004747FF">
        <w:tc>
          <w:tcPr>
            <w:tcW w:w="392" w:type="dxa"/>
            <w:vAlign w:val="center"/>
          </w:tcPr>
          <w:p w:rsidR="004747FF" w:rsidRPr="004747FF" w:rsidRDefault="004747FF" w:rsidP="00D635C9">
            <w:pPr>
              <w:rPr>
                <w:color w:val="002060"/>
                <w:sz w:val="28"/>
                <w:szCs w:val="28"/>
              </w:rPr>
            </w:pPr>
            <w:r w:rsidRPr="004747FF">
              <w:rPr>
                <w:color w:val="002060"/>
                <w:sz w:val="28"/>
                <w:szCs w:val="28"/>
              </w:rPr>
              <w:t>C</w:t>
            </w:r>
          </w:p>
        </w:tc>
        <w:tc>
          <w:tcPr>
            <w:tcW w:w="8850" w:type="dxa"/>
            <w:vAlign w:val="center"/>
          </w:tcPr>
          <w:p w:rsidR="004747FF" w:rsidRPr="004747FF" w:rsidRDefault="004747FF" w:rsidP="00093298">
            <w:pPr>
              <w:spacing w:line="274" w:lineRule="atLeast"/>
              <w:rPr>
                <w:rFonts w:eastAsia="Times New Roman" w:cs="Arial"/>
                <w:color w:val="002060"/>
                <w:sz w:val="28"/>
                <w:szCs w:val="28"/>
              </w:rPr>
            </w:pPr>
            <w:r w:rsidRPr="004747FF">
              <w:rPr>
                <w:rFonts w:eastAsia="Times New Roman" w:cs="Arial"/>
                <w:bCs/>
                <w:color w:val="002060"/>
                <w:kern w:val="24"/>
                <w:sz w:val="28"/>
                <w:szCs w:val="28"/>
              </w:rPr>
              <w:t>Seller</w:t>
            </w:r>
          </w:p>
        </w:tc>
      </w:tr>
      <w:tr w:rsidR="004747FF" w:rsidRPr="004747FF" w:rsidTr="004747FF">
        <w:tc>
          <w:tcPr>
            <w:tcW w:w="392" w:type="dxa"/>
            <w:vAlign w:val="center"/>
          </w:tcPr>
          <w:p w:rsidR="004747FF" w:rsidRPr="004747FF" w:rsidRDefault="004747FF" w:rsidP="00D635C9">
            <w:pPr>
              <w:rPr>
                <w:color w:val="002060"/>
                <w:sz w:val="28"/>
                <w:szCs w:val="28"/>
              </w:rPr>
            </w:pPr>
            <w:r w:rsidRPr="004747FF">
              <w:rPr>
                <w:color w:val="002060"/>
                <w:sz w:val="28"/>
                <w:szCs w:val="28"/>
              </w:rPr>
              <w:t>D</w:t>
            </w:r>
          </w:p>
        </w:tc>
        <w:tc>
          <w:tcPr>
            <w:tcW w:w="8850" w:type="dxa"/>
            <w:vAlign w:val="center"/>
          </w:tcPr>
          <w:p w:rsidR="004747FF" w:rsidRPr="004747FF" w:rsidRDefault="004747FF" w:rsidP="00093298">
            <w:pPr>
              <w:rPr>
                <w:rFonts w:eastAsia="Times New Roman" w:cs="Arial"/>
                <w:bCs/>
                <w:color w:val="002060"/>
                <w:kern w:val="24"/>
                <w:sz w:val="28"/>
                <w:szCs w:val="28"/>
              </w:rPr>
            </w:pPr>
            <w:r w:rsidRPr="004747FF">
              <w:rPr>
                <w:rFonts w:eastAsia="Times New Roman" w:cs="Arial"/>
                <w:bCs/>
                <w:color w:val="002060"/>
                <w:kern w:val="24"/>
                <w:sz w:val="28"/>
                <w:szCs w:val="28"/>
              </w:rPr>
              <w:t>Granter</w:t>
            </w:r>
          </w:p>
        </w:tc>
      </w:tr>
    </w:tbl>
    <w:p w:rsidR="000E2886" w:rsidRPr="004747FF" w:rsidRDefault="000E2886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850"/>
      </w:tblGrid>
      <w:tr w:rsidR="00F97B0C" w:rsidRPr="004747FF" w:rsidTr="00DE6A36">
        <w:tc>
          <w:tcPr>
            <w:tcW w:w="9242" w:type="dxa"/>
            <w:gridSpan w:val="2"/>
          </w:tcPr>
          <w:p w:rsidR="00F97B0C" w:rsidRPr="004747FF" w:rsidRDefault="004747FF" w:rsidP="004747F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747FF">
              <w:rPr>
                <w:sz w:val="28"/>
                <w:szCs w:val="28"/>
              </w:rPr>
              <w:t>A writer of an option is also known as the;</w:t>
            </w:r>
          </w:p>
        </w:tc>
      </w:tr>
      <w:tr w:rsidR="004747FF" w:rsidRPr="004747FF" w:rsidTr="004747FF">
        <w:tc>
          <w:tcPr>
            <w:tcW w:w="392" w:type="dxa"/>
            <w:vAlign w:val="center"/>
          </w:tcPr>
          <w:p w:rsidR="004747FF" w:rsidRPr="004747FF" w:rsidRDefault="004747FF" w:rsidP="00D635C9">
            <w:pPr>
              <w:rPr>
                <w:color w:val="002060"/>
                <w:sz w:val="28"/>
                <w:szCs w:val="28"/>
              </w:rPr>
            </w:pPr>
            <w:r w:rsidRPr="004747FF">
              <w:rPr>
                <w:color w:val="002060"/>
                <w:sz w:val="28"/>
                <w:szCs w:val="28"/>
              </w:rPr>
              <w:t>A</w:t>
            </w:r>
          </w:p>
        </w:tc>
        <w:tc>
          <w:tcPr>
            <w:tcW w:w="8850" w:type="dxa"/>
            <w:vAlign w:val="center"/>
          </w:tcPr>
          <w:p w:rsidR="004747FF" w:rsidRPr="004747FF" w:rsidRDefault="004747FF" w:rsidP="00093298">
            <w:pPr>
              <w:spacing w:line="311" w:lineRule="atLeast"/>
              <w:rPr>
                <w:rFonts w:eastAsia="Times New Roman" w:cs="Arial"/>
                <w:color w:val="002060"/>
                <w:sz w:val="28"/>
                <w:szCs w:val="28"/>
              </w:rPr>
            </w:pPr>
            <w:r w:rsidRPr="004747FF">
              <w:rPr>
                <w:rFonts w:eastAsia="Times New Roman" w:cs="Arial"/>
                <w:bCs/>
                <w:color w:val="002060"/>
                <w:kern w:val="24"/>
                <w:sz w:val="28"/>
                <w:szCs w:val="28"/>
              </w:rPr>
              <w:t>Buyer</w:t>
            </w:r>
          </w:p>
        </w:tc>
      </w:tr>
      <w:tr w:rsidR="004747FF" w:rsidRPr="004747FF" w:rsidTr="004747FF">
        <w:tc>
          <w:tcPr>
            <w:tcW w:w="392" w:type="dxa"/>
            <w:vAlign w:val="center"/>
          </w:tcPr>
          <w:p w:rsidR="004747FF" w:rsidRPr="004747FF" w:rsidRDefault="004747FF" w:rsidP="00D635C9">
            <w:pPr>
              <w:rPr>
                <w:color w:val="002060"/>
                <w:sz w:val="28"/>
                <w:szCs w:val="28"/>
              </w:rPr>
            </w:pPr>
            <w:r w:rsidRPr="004747FF">
              <w:rPr>
                <w:color w:val="002060"/>
                <w:sz w:val="28"/>
                <w:szCs w:val="28"/>
              </w:rPr>
              <w:t>B</w:t>
            </w:r>
          </w:p>
        </w:tc>
        <w:tc>
          <w:tcPr>
            <w:tcW w:w="8850" w:type="dxa"/>
            <w:vAlign w:val="center"/>
          </w:tcPr>
          <w:p w:rsidR="004747FF" w:rsidRPr="004747FF" w:rsidRDefault="004747FF" w:rsidP="00093298">
            <w:pPr>
              <w:spacing w:line="281" w:lineRule="atLeast"/>
              <w:rPr>
                <w:rFonts w:eastAsia="Times New Roman" w:cs="Arial"/>
                <w:color w:val="002060"/>
                <w:sz w:val="28"/>
                <w:szCs w:val="28"/>
              </w:rPr>
            </w:pPr>
            <w:r w:rsidRPr="004747FF">
              <w:rPr>
                <w:rFonts w:eastAsia="Times New Roman" w:cs="Arial"/>
                <w:bCs/>
                <w:color w:val="002060"/>
                <w:kern w:val="24"/>
                <w:sz w:val="28"/>
                <w:szCs w:val="28"/>
              </w:rPr>
              <w:t>Granter</w:t>
            </w:r>
          </w:p>
        </w:tc>
      </w:tr>
      <w:tr w:rsidR="004747FF" w:rsidRPr="004747FF" w:rsidTr="004747FF">
        <w:tc>
          <w:tcPr>
            <w:tcW w:w="392" w:type="dxa"/>
            <w:vAlign w:val="center"/>
          </w:tcPr>
          <w:p w:rsidR="004747FF" w:rsidRPr="004747FF" w:rsidRDefault="004747FF" w:rsidP="00D635C9">
            <w:pPr>
              <w:rPr>
                <w:color w:val="002060"/>
                <w:sz w:val="28"/>
                <w:szCs w:val="28"/>
              </w:rPr>
            </w:pPr>
            <w:r w:rsidRPr="004747FF">
              <w:rPr>
                <w:color w:val="002060"/>
                <w:sz w:val="28"/>
                <w:szCs w:val="28"/>
              </w:rPr>
              <w:t>C</w:t>
            </w:r>
          </w:p>
        </w:tc>
        <w:tc>
          <w:tcPr>
            <w:tcW w:w="8850" w:type="dxa"/>
            <w:vAlign w:val="center"/>
          </w:tcPr>
          <w:p w:rsidR="004747FF" w:rsidRPr="004747FF" w:rsidRDefault="004747FF" w:rsidP="00093298">
            <w:pPr>
              <w:spacing w:line="252" w:lineRule="atLeast"/>
              <w:rPr>
                <w:rFonts w:eastAsia="Times New Roman" w:cs="Arial"/>
                <w:color w:val="002060"/>
                <w:sz w:val="28"/>
                <w:szCs w:val="28"/>
              </w:rPr>
            </w:pPr>
            <w:r w:rsidRPr="004747FF">
              <w:rPr>
                <w:rFonts w:eastAsia="Times New Roman" w:cs="Arial"/>
                <w:bCs/>
                <w:color w:val="002060"/>
                <w:kern w:val="24"/>
                <w:sz w:val="28"/>
                <w:szCs w:val="28"/>
              </w:rPr>
              <w:t>Seller</w:t>
            </w:r>
          </w:p>
        </w:tc>
      </w:tr>
      <w:tr w:rsidR="004747FF" w:rsidRPr="004747FF" w:rsidTr="004747FF">
        <w:tc>
          <w:tcPr>
            <w:tcW w:w="392" w:type="dxa"/>
            <w:vAlign w:val="center"/>
          </w:tcPr>
          <w:p w:rsidR="004747FF" w:rsidRPr="004747FF" w:rsidRDefault="004747FF" w:rsidP="00D635C9">
            <w:pPr>
              <w:rPr>
                <w:color w:val="002060"/>
                <w:sz w:val="28"/>
                <w:szCs w:val="28"/>
              </w:rPr>
            </w:pPr>
            <w:r w:rsidRPr="004747FF">
              <w:rPr>
                <w:color w:val="002060"/>
                <w:sz w:val="28"/>
                <w:szCs w:val="28"/>
              </w:rPr>
              <w:t>D</w:t>
            </w:r>
          </w:p>
        </w:tc>
        <w:tc>
          <w:tcPr>
            <w:tcW w:w="8850" w:type="dxa"/>
            <w:vAlign w:val="center"/>
          </w:tcPr>
          <w:p w:rsidR="004747FF" w:rsidRPr="004747FF" w:rsidRDefault="004747FF" w:rsidP="00093298">
            <w:pPr>
              <w:rPr>
                <w:rFonts w:eastAsia="Times New Roman" w:cs="Arial"/>
                <w:bCs/>
                <w:color w:val="002060"/>
                <w:kern w:val="24"/>
                <w:sz w:val="28"/>
                <w:szCs w:val="28"/>
              </w:rPr>
            </w:pPr>
            <w:r w:rsidRPr="004747FF">
              <w:rPr>
                <w:rFonts w:eastAsia="Times New Roman" w:cs="Arial"/>
                <w:bCs/>
                <w:color w:val="002060"/>
                <w:kern w:val="24"/>
                <w:sz w:val="28"/>
                <w:szCs w:val="28"/>
              </w:rPr>
              <w:t>Holder</w:t>
            </w:r>
          </w:p>
        </w:tc>
      </w:tr>
    </w:tbl>
    <w:p w:rsidR="000E2886" w:rsidRDefault="000E288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850"/>
      </w:tblGrid>
      <w:tr w:rsidR="004E3A6D" w:rsidRPr="00F97B0C" w:rsidTr="00DE6A36">
        <w:tc>
          <w:tcPr>
            <w:tcW w:w="9242" w:type="dxa"/>
            <w:gridSpan w:val="2"/>
          </w:tcPr>
          <w:p w:rsidR="004E3A6D" w:rsidRPr="00F97B0C" w:rsidRDefault="004747FF" w:rsidP="00DB53D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The up-front amount paid by the holder of an option to an exchange is known as; </w:t>
            </w:r>
          </w:p>
        </w:tc>
      </w:tr>
      <w:tr w:rsidR="004E3A6D" w:rsidRPr="00F97B0C" w:rsidTr="00DE6A36">
        <w:tc>
          <w:tcPr>
            <w:tcW w:w="392" w:type="dxa"/>
          </w:tcPr>
          <w:p w:rsidR="004E3A6D" w:rsidRPr="00F97B0C" w:rsidRDefault="004E3A6D" w:rsidP="00D635C9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A</w:t>
            </w:r>
          </w:p>
        </w:tc>
        <w:tc>
          <w:tcPr>
            <w:tcW w:w="8850" w:type="dxa"/>
          </w:tcPr>
          <w:p w:rsidR="004E3A6D" w:rsidRPr="00F97B0C" w:rsidRDefault="004747FF" w:rsidP="00D635C9">
            <w:pPr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The premium</w:t>
            </w:r>
          </w:p>
        </w:tc>
      </w:tr>
      <w:tr w:rsidR="004E3A6D" w:rsidRPr="00F97B0C" w:rsidTr="00DE6A36">
        <w:tc>
          <w:tcPr>
            <w:tcW w:w="392" w:type="dxa"/>
          </w:tcPr>
          <w:p w:rsidR="004E3A6D" w:rsidRPr="00F97B0C" w:rsidRDefault="004E3A6D" w:rsidP="00D635C9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B</w:t>
            </w:r>
          </w:p>
        </w:tc>
        <w:tc>
          <w:tcPr>
            <w:tcW w:w="8850" w:type="dxa"/>
          </w:tcPr>
          <w:p w:rsidR="004E3A6D" w:rsidRPr="00F97B0C" w:rsidRDefault="004747FF" w:rsidP="00DB53DD">
            <w:pPr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The ex-rights price</w:t>
            </w:r>
          </w:p>
        </w:tc>
      </w:tr>
      <w:tr w:rsidR="004E3A6D" w:rsidRPr="00F97B0C" w:rsidTr="00DE6A36">
        <w:tc>
          <w:tcPr>
            <w:tcW w:w="392" w:type="dxa"/>
          </w:tcPr>
          <w:p w:rsidR="004E3A6D" w:rsidRPr="00F97B0C" w:rsidRDefault="004E3A6D" w:rsidP="00D635C9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C</w:t>
            </w:r>
          </w:p>
        </w:tc>
        <w:tc>
          <w:tcPr>
            <w:tcW w:w="8850" w:type="dxa"/>
          </w:tcPr>
          <w:p w:rsidR="004E3A6D" w:rsidRPr="00F97B0C" w:rsidRDefault="004747FF" w:rsidP="00D635C9">
            <w:pPr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The spread</w:t>
            </w:r>
          </w:p>
        </w:tc>
      </w:tr>
      <w:tr w:rsidR="004E3A6D" w:rsidRPr="00F97B0C" w:rsidTr="00DE6A36">
        <w:tc>
          <w:tcPr>
            <w:tcW w:w="392" w:type="dxa"/>
          </w:tcPr>
          <w:p w:rsidR="004E3A6D" w:rsidRPr="00F97B0C" w:rsidRDefault="004E3A6D" w:rsidP="00D635C9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D</w:t>
            </w:r>
          </w:p>
        </w:tc>
        <w:tc>
          <w:tcPr>
            <w:tcW w:w="8850" w:type="dxa"/>
          </w:tcPr>
          <w:p w:rsidR="004E3A6D" w:rsidRPr="00F97B0C" w:rsidRDefault="004747FF" w:rsidP="00D635C9">
            <w:pPr>
              <w:autoSpaceDE w:val="0"/>
              <w:autoSpaceDN w:val="0"/>
              <w:adjustRightInd w:val="0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The buy price</w:t>
            </w:r>
          </w:p>
        </w:tc>
      </w:tr>
    </w:tbl>
    <w:p w:rsidR="000E2886" w:rsidRDefault="000E288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850"/>
      </w:tblGrid>
      <w:tr w:rsidR="009F1F97" w:rsidRPr="00F97B0C" w:rsidTr="00DE6A36">
        <w:tc>
          <w:tcPr>
            <w:tcW w:w="9242" w:type="dxa"/>
            <w:gridSpan w:val="2"/>
          </w:tcPr>
          <w:p w:rsidR="009F1F97" w:rsidRPr="00F97B0C" w:rsidRDefault="001612DB" w:rsidP="001612D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1612DB">
              <w:rPr>
                <w:sz w:val="28"/>
                <w:szCs w:val="24"/>
              </w:rPr>
              <w:t>Tom is the holder of an option and has the right to sell the underlying asset at the exercise price. This confirms that he:</w:t>
            </w:r>
          </w:p>
        </w:tc>
      </w:tr>
      <w:tr w:rsidR="001612DB" w:rsidRPr="00F97B0C" w:rsidTr="001612DB">
        <w:tc>
          <w:tcPr>
            <w:tcW w:w="392" w:type="dxa"/>
            <w:vAlign w:val="center"/>
          </w:tcPr>
          <w:p w:rsidR="001612DB" w:rsidRPr="001612DB" w:rsidRDefault="001612DB" w:rsidP="00D635C9">
            <w:pPr>
              <w:rPr>
                <w:color w:val="002060"/>
                <w:sz w:val="28"/>
                <w:szCs w:val="24"/>
              </w:rPr>
            </w:pPr>
            <w:r w:rsidRPr="001612DB">
              <w:rPr>
                <w:color w:val="002060"/>
                <w:sz w:val="28"/>
                <w:szCs w:val="24"/>
              </w:rPr>
              <w:t>A</w:t>
            </w:r>
          </w:p>
        </w:tc>
        <w:tc>
          <w:tcPr>
            <w:tcW w:w="8850" w:type="dxa"/>
            <w:vAlign w:val="center"/>
          </w:tcPr>
          <w:p w:rsidR="001612DB" w:rsidRPr="001612DB" w:rsidRDefault="001612DB" w:rsidP="00093298">
            <w:pPr>
              <w:spacing w:line="260" w:lineRule="atLeast"/>
              <w:rPr>
                <w:rFonts w:ascii="Arial" w:eastAsia="Times New Roman" w:hAnsi="Arial" w:cs="Arial"/>
                <w:color w:val="002060"/>
                <w:sz w:val="36"/>
                <w:szCs w:val="36"/>
              </w:rPr>
            </w:pPr>
            <w:r w:rsidRPr="001612DB">
              <w:rPr>
                <w:rFonts w:ascii="Arial" w:eastAsia="Times New Roman" w:hAnsi="Arial" w:cs="Arial"/>
                <w:bCs/>
                <w:color w:val="002060"/>
                <w:kern w:val="24"/>
                <w:sz w:val="24"/>
                <w:szCs w:val="24"/>
              </w:rPr>
              <w:t xml:space="preserve">Has a naked or covered position </w:t>
            </w:r>
          </w:p>
        </w:tc>
      </w:tr>
      <w:tr w:rsidR="001612DB" w:rsidRPr="00F97B0C" w:rsidTr="001612DB">
        <w:tc>
          <w:tcPr>
            <w:tcW w:w="392" w:type="dxa"/>
            <w:vAlign w:val="center"/>
          </w:tcPr>
          <w:p w:rsidR="001612DB" w:rsidRPr="001612DB" w:rsidRDefault="001612DB" w:rsidP="00D635C9">
            <w:pPr>
              <w:rPr>
                <w:color w:val="002060"/>
                <w:sz w:val="28"/>
                <w:szCs w:val="24"/>
              </w:rPr>
            </w:pPr>
            <w:r w:rsidRPr="001612DB">
              <w:rPr>
                <w:color w:val="002060"/>
                <w:sz w:val="28"/>
                <w:szCs w:val="24"/>
              </w:rPr>
              <w:t>B</w:t>
            </w:r>
          </w:p>
        </w:tc>
        <w:tc>
          <w:tcPr>
            <w:tcW w:w="8850" w:type="dxa"/>
            <w:vAlign w:val="center"/>
          </w:tcPr>
          <w:p w:rsidR="001612DB" w:rsidRPr="001612DB" w:rsidRDefault="001612DB" w:rsidP="00093298">
            <w:pPr>
              <w:spacing w:line="260" w:lineRule="atLeast"/>
              <w:rPr>
                <w:rFonts w:ascii="Arial" w:eastAsia="Times New Roman" w:hAnsi="Arial" w:cs="Arial"/>
                <w:color w:val="002060"/>
                <w:sz w:val="36"/>
                <w:szCs w:val="36"/>
              </w:rPr>
            </w:pPr>
            <w:r w:rsidRPr="001612DB">
              <w:rPr>
                <w:rFonts w:ascii="Arial" w:eastAsia="Times New Roman" w:hAnsi="Arial" w:cs="Arial"/>
                <w:bCs/>
                <w:color w:val="002060"/>
                <w:kern w:val="24"/>
                <w:sz w:val="24"/>
                <w:szCs w:val="24"/>
              </w:rPr>
              <w:t xml:space="preserve">Is the writer of the option </w:t>
            </w:r>
          </w:p>
        </w:tc>
      </w:tr>
      <w:tr w:rsidR="001612DB" w:rsidRPr="00F97B0C" w:rsidTr="001612DB">
        <w:tc>
          <w:tcPr>
            <w:tcW w:w="392" w:type="dxa"/>
            <w:vAlign w:val="center"/>
          </w:tcPr>
          <w:p w:rsidR="001612DB" w:rsidRPr="001612DB" w:rsidRDefault="001612DB" w:rsidP="00D635C9">
            <w:pPr>
              <w:rPr>
                <w:color w:val="002060"/>
                <w:sz w:val="28"/>
                <w:szCs w:val="24"/>
              </w:rPr>
            </w:pPr>
            <w:r w:rsidRPr="001612DB">
              <w:rPr>
                <w:color w:val="002060"/>
                <w:sz w:val="28"/>
                <w:szCs w:val="24"/>
              </w:rPr>
              <w:t>C</w:t>
            </w:r>
          </w:p>
        </w:tc>
        <w:tc>
          <w:tcPr>
            <w:tcW w:w="8850" w:type="dxa"/>
            <w:vAlign w:val="center"/>
          </w:tcPr>
          <w:p w:rsidR="001612DB" w:rsidRPr="001612DB" w:rsidRDefault="001612DB" w:rsidP="00093298">
            <w:pPr>
              <w:spacing w:line="260" w:lineRule="atLeast"/>
              <w:rPr>
                <w:rFonts w:ascii="Arial" w:eastAsia="Times New Roman" w:hAnsi="Arial" w:cs="Arial"/>
                <w:color w:val="002060"/>
                <w:sz w:val="36"/>
                <w:szCs w:val="36"/>
              </w:rPr>
            </w:pPr>
            <w:r w:rsidRPr="001612DB">
              <w:rPr>
                <w:rFonts w:ascii="Arial" w:eastAsia="Times New Roman" w:hAnsi="Arial" w:cs="Arial"/>
                <w:bCs/>
                <w:color w:val="002060"/>
                <w:kern w:val="24"/>
                <w:sz w:val="24"/>
                <w:szCs w:val="24"/>
              </w:rPr>
              <w:t>Is the central counterparty to the option</w:t>
            </w:r>
          </w:p>
        </w:tc>
      </w:tr>
      <w:tr w:rsidR="001612DB" w:rsidRPr="00F97B0C" w:rsidTr="001612DB">
        <w:tc>
          <w:tcPr>
            <w:tcW w:w="392" w:type="dxa"/>
            <w:vAlign w:val="center"/>
          </w:tcPr>
          <w:p w:rsidR="001612DB" w:rsidRPr="001612DB" w:rsidRDefault="001612DB" w:rsidP="00D635C9">
            <w:pPr>
              <w:rPr>
                <w:color w:val="002060"/>
                <w:sz w:val="28"/>
                <w:szCs w:val="24"/>
              </w:rPr>
            </w:pPr>
            <w:r w:rsidRPr="001612DB">
              <w:rPr>
                <w:color w:val="002060"/>
                <w:sz w:val="28"/>
                <w:szCs w:val="24"/>
              </w:rPr>
              <w:t>D</w:t>
            </w:r>
          </w:p>
        </w:tc>
        <w:tc>
          <w:tcPr>
            <w:tcW w:w="8850" w:type="dxa"/>
            <w:vAlign w:val="center"/>
          </w:tcPr>
          <w:p w:rsidR="001612DB" w:rsidRPr="001612DB" w:rsidRDefault="001612DB" w:rsidP="00093298">
            <w:pPr>
              <w:spacing w:line="260" w:lineRule="atLeast"/>
              <w:rPr>
                <w:rFonts w:ascii="Arial" w:eastAsia="Times New Roman" w:hAnsi="Arial" w:cs="Arial"/>
                <w:bCs/>
                <w:color w:val="002060"/>
                <w:kern w:val="24"/>
                <w:sz w:val="24"/>
                <w:szCs w:val="24"/>
              </w:rPr>
            </w:pPr>
            <w:r w:rsidRPr="001612DB">
              <w:rPr>
                <w:rFonts w:ascii="Arial" w:eastAsia="Times New Roman" w:hAnsi="Arial" w:cs="Arial"/>
                <w:bCs/>
                <w:color w:val="002060"/>
                <w:kern w:val="24"/>
                <w:sz w:val="24"/>
                <w:szCs w:val="24"/>
              </w:rPr>
              <w:t xml:space="preserve">Is the holder of a put option </w:t>
            </w:r>
          </w:p>
        </w:tc>
      </w:tr>
    </w:tbl>
    <w:p w:rsidR="00E71528" w:rsidRDefault="00E71528"/>
    <w:p w:rsidR="001612DB" w:rsidRDefault="001612DB"/>
    <w:p w:rsidR="004747FF" w:rsidRDefault="004747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850"/>
      </w:tblGrid>
      <w:tr w:rsidR="00E71528" w:rsidRPr="00F97B0C" w:rsidTr="00DE6A36">
        <w:tc>
          <w:tcPr>
            <w:tcW w:w="9242" w:type="dxa"/>
            <w:gridSpan w:val="2"/>
          </w:tcPr>
          <w:p w:rsidR="00E71528" w:rsidRPr="00F97B0C" w:rsidRDefault="001612DB" w:rsidP="001612D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1612DB">
              <w:rPr>
                <w:sz w:val="28"/>
                <w:szCs w:val="24"/>
              </w:rPr>
              <w:lastRenderedPageBreak/>
              <w:t>What type of option might oblige the writer to deliver the underlying asset upon exercise?</w:t>
            </w:r>
          </w:p>
        </w:tc>
      </w:tr>
      <w:tr w:rsidR="001612DB" w:rsidRPr="00F97B0C" w:rsidTr="001612DB">
        <w:tc>
          <w:tcPr>
            <w:tcW w:w="392" w:type="dxa"/>
            <w:vAlign w:val="center"/>
          </w:tcPr>
          <w:p w:rsidR="001612DB" w:rsidRPr="001612DB" w:rsidRDefault="001612DB" w:rsidP="00D635C9">
            <w:pPr>
              <w:rPr>
                <w:color w:val="002060"/>
                <w:sz w:val="28"/>
                <w:szCs w:val="24"/>
              </w:rPr>
            </w:pPr>
            <w:r w:rsidRPr="001612DB">
              <w:rPr>
                <w:color w:val="002060"/>
                <w:sz w:val="28"/>
                <w:szCs w:val="24"/>
              </w:rPr>
              <w:t>A</w:t>
            </w:r>
          </w:p>
        </w:tc>
        <w:tc>
          <w:tcPr>
            <w:tcW w:w="8850" w:type="dxa"/>
            <w:vAlign w:val="center"/>
          </w:tcPr>
          <w:p w:rsidR="001612DB" w:rsidRPr="001612DB" w:rsidRDefault="001612DB" w:rsidP="00093298">
            <w:pPr>
              <w:spacing w:line="334" w:lineRule="atLeast"/>
              <w:rPr>
                <w:rFonts w:ascii="Arial" w:eastAsia="Times New Roman" w:hAnsi="Arial" w:cs="Arial"/>
                <w:color w:val="002060"/>
                <w:sz w:val="36"/>
                <w:szCs w:val="36"/>
              </w:rPr>
            </w:pPr>
            <w:r w:rsidRPr="001612DB">
              <w:rPr>
                <w:rFonts w:ascii="Arial" w:eastAsia="Times New Roman" w:hAnsi="Arial" w:cs="Arial"/>
                <w:bCs/>
                <w:color w:val="002060"/>
                <w:kern w:val="24"/>
                <w:sz w:val="24"/>
                <w:szCs w:val="24"/>
              </w:rPr>
              <w:t>Short option</w:t>
            </w:r>
          </w:p>
        </w:tc>
      </w:tr>
      <w:tr w:rsidR="001612DB" w:rsidRPr="00F97B0C" w:rsidTr="001612DB">
        <w:tc>
          <w:tcPr>
            <w:tcW w:w="392" w:type="dxa"/>
            <w:vAlign w:val="center"/>
          </w:tcPr>
          <w:p w:rsidR="001612DB" w:rsidRPr="001612DB" w:rsidRDefault="001612DB" w:rsidP="00D635C9">
            <w:pPr>
              <w:rPr>
                <w:color w:val="002060"/>
                <w:sz w:val="28"/>
                <w:szCs w:val="24"/>
              </w:rPr>
            </w:pPr>
            <w:r w:rsidRPr="001612DB">
              <w:rPr>
                <w:color w:val="002060"/>
                <w:sz w:val="28"/>
                <w:szCs w:val="24"/>
              </w:rPr>
              <w:t>B</w:t>
            </w:r>
          </w:p>
        </w:tc>
        <w:tc>
          <w:tcPr>
            <w:tcW w:w="8850" w:type="dxa"/>
            <w:vAlign w:val="center"/>
          </w:tcPr>
          <w:p w:rsidR="001612DB" w:rsidRPr="001612DB" w:rsidRDefault="001612DB" w:rsidP="00093298">
            <w:pPr>
              <w:spacing w:line="334" w:lineRule="atLeast"/>
              <w:rPr>
                <w:rFonts w:ascii="Arial" w:eastAsia="Times New Roman" w:hAnsi="Arial" w:cs="Arial"/>
                <w:color w:val="002060"/>
                <w:sz w:val="36"/>
                <w:szCs w:val="36"/>
              </w:rPr>
            </w:pPr>
            <w:r w:rsidRPr="001612DB">
              <w:rPr>
                <w:rFonts w:ascii="Arial" w:eastAsia="Times New Roman" w:hAnsi="Arial" w:cs="Arial"/>
                <w:bCs/>
                <w:color w:val="002060"/>
                <w:kern w:val="24"/>
                <w:sz w:val="24"/>
                <w:szCs w:val="24"/>
              </w:rPr>
              <w:t>Put option</w:t>
            </w:r>
          </w:p>
        </w:tc>
      </w:tr>
      <w:tr w:rsidR="001612DB" w:rsidRPr="00F97B0C" w:rsidTr="001612DB">
        <w:tc>
          <w:tcPr>
            <w:tcW w:w="392" w:type="dxa"/>
            <w:vAlign w:val="center"/>
          </w:tcPr>
          <w:p w:rsidR="001612DB" w:rsidRPr="001612DB" w:rsidRDefault="001612DB" w:rsidP="00D635C9">
            <w:pPr>
              <w:rPr>
                <w:color w:val="002060"/>
                <w:sz w:val="28"/>
                <w:szCs w:val="24"/>
              </w:rPr>
            </w:pPr>
            <w:r w:rsidRPr="001612DB">
              <w:rPr>
                <w:color w:val="002060"/>
                <w:sz w:val="28"/>
                <w:szCs w:val="24"/>
              </w:rPr>
              <w:t>C</w:t>
            </w:r>
          </w:p>
        </w:tc>
        <w:tc>
          <w:tcPr>
            <w:tcW w:w="8850" w:type="dxa"/>
            <w:vAlign w:val="center"/>
          </w:tcPr>
          <w:p w:rsidR="001612DB" w:rsidRPr="001612DB" w:rsidRDefault="001612DB" w:rsidP="00093298">
            <w:pPr>
              <w:spacing w:line="334" w:lineRule="atLeast"/>
              <w:rPr>
                <w:rFonts w:ascii="Arial" w:eastAsia="Times New Roman" w:hAnsi="Arial" w:cs="Arial"/>
                <w:color w:val="002060"/>
                <w:sz w:val="36"/>
                <w:szCs w:val="36"/>
              </w:rPr>
            </w:pPr>
            <w:r w:rsidRPr="001612DB">
              <w:rPr>
                <w:rFonts w:ascii="Arial" w:eastAsia="Times New Roman" w:hAnsi="Arial" w:cs="Arial"/>
                <w:bCs/>
                <w:color w:val="002060"/>
                <w:kern w:val="24"/>
                <w:sz w:val="24"/>
                <w:szCs w:val="24"/>
              </w:rPr>
              <w:t>Long option</w:t>
            </w:r>
          </w:p>
        </w:tc>
      </w:tr>
      <w:tr w:rsidR="001612DB" w:rsidRPr="00F97B0C" w:rsidTr="001612DB">
        <w:tc>
          <w:tcPr>
            <w:tcW w:w="392" w:type="dxa"/>
            <w:vAlign w:val="center"/>
          </w:tcPr>
          <w:p w:rsidR="001612DB" w:rsidRPr="001612DB" w:rsidRDefault="001612DB" w:rsidP="00D635C9">
            <w:pPr>
              <w:rPr>
                <w:color w:val="002060"/>
                <w:sz w:val="28"/>
                <w:szCs w:val="24"/>
              </w:rPr>
            </w:pPr>
            <w:r w:rsidRPr="001612DB">
              <w:rPr>
                <w:color w:val="002060"/>
                <w:sz w:val="28"/>
                <w:szCs w:val="24"/>
              </w:rPr>
              <w:t>D</w:t>
            </w:r>
          </w:p>
        </w:tc>
        <w:tc>
          <w:tcPr>
            <w:tcW w:w="8850" w:type="dxa"/>
            <w:vAlign w:val="center"/>
          </w:tcPr>
          <w:p w:rsidR="001612DB" w:rsidRPr="001612DB" w:rsidRDefault="001612DB" w:rsidP="00093298">
            <w:pPr>
              <w:spacing w:line="334" w:lineRule="atLeast"/>
              <w:rPr>
                <w:rFonts w:ascii="Arial" w:eastAsia="Times New Roman" w:hAnsi="Arial" w:cs="Arial"/>
                <w:bCs/>
                <w:color w:val="002060"/>
                <w:kern w:val="24"/>
                <w:sz w:val="24"/>
                <w:szCs w:val="24"/>
              </w:rPr>
            </w:pPr>
            <w:r w:rsidRPr="001612DB">
              <w:rPr>
                <w:rFonts w:ascii="Arial" w:eastAsia="Times New Roman" w:hAnsi="Arial" w:cs="Arial"/>
                <w:bCs/>
                <w:color w:val="002060"/>
                <w:kern w:val="24"/>
                <w:sz w:val="24"/>
                <w:szCs w:val="24"/>
              </w:rPr>
              <w:t>Call option</w:t>
            </w:r>
          </w:p>
        </w:tc>
      </w:tr>
    </w:tbl>
    <w:p w:rsidR="00266071" w:rsidRDefault="00266071" w:rsidP="00E7152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850"/>
      </w:tblGrid>
      <w:tr w:rsidR="0037285F" w:rsidRPr="00F97B0C" w:rsidTr="00DE6A36">
        <w:tc>
          <w:tcPr>
            <w:tcW w:w="9242" w:type="dxa"/>
            <w:gridSpan w:val="2"/>
          </w:tcPr>
          <w:p w:rsidR="0037285F" w:rsidRPr="00754FA5" w:rsidRDefault="00754FA5" w:rsidP="00754FA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When </w:t>
            </w:r>
            <w:r w:rsidRPr="00754FA5">
              <w:rPr>
                <w:sz w:val="28"/>
                <w:szCs w:val="24"/>
              </w:rPr>
              <w:t>counterparties</w:t>
            </w:r>
            <w:r>
              <w:rPr>
                <w:sz w:val="28"/>
                <w:szCs w:val="24"/>
              </w:rPr>
              <w:t xml:space="preserve"> </w:t>
            </w:r>
            <w:r w:rsidRPr="00754FA5">
              <w:rPr>
                <w:sz w:val="28"/>
                <w:szCs w:val="24"/>
              </w:rPr>
              <w:t>want to tra</w:t>
            </w:r>
            <w:r>
              <w:rPr>
                <w:sz w:val="28"/>
                <w:szCs w:val="24"/>
              </w:rPr>
              <w:t>de an option that is outside</w:t>
            </w:r>
            <w:r w:rsidRPr="00754FA5">
              <w:rPr>
                <w:sz w:val="28"/>
                <w:szCs w:val="24"/>
              </w:rPr>
              <w:t xml:space="preserve"> standardised terms</w:t>
            </w:r>
            <w:r>
              <w:rPr>
                <w:sz w:val="28"/>
                <w:szCs w:val="24"/>
              </w:rPr>
              <w:t>, it is referred to as;</w:t>
            </w:r>
          </w:p>
        </w:tc>
      </w:tr>
      <w:tr w:rsidR="00D56668" w:rsidRPr="00754FA5" w:rsidTr="00DE6A36">
        <w:tc>
          <w:tcPr>
            <w:tcW w:w="392" w:type="dxa"/>
          </w:tcPr>
          <w:p w:rsidR="00D56668" w:rsidRPr="00F97B0C" w:rsidRDefault="00D56668" w:rsidP="00D635C9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A</w:t>
            </w:r>
          </w:p>
        </w:tc>
        <w:tc>
          <w:tcPr>
            <w:tcW w:w="8850" w:type="dxa"/>
          </w:tcPr>
          <w:p w:rsidR="00D56668" w:rsidRPr="00754FA5" w:rsidRDefault="00754FA5" w:rsidP="00754FA5">
            <w:pPr>
              <w:rPr>
                <w:color w:val="002060"/>
                <w:sz w:val="28"/>
                <w:szCs w:val="24"/>
              </w:rPr>
            </w:pPr>
            <w:r w:rsidRPr="00754FA5">
              <w:rPr>
                <w:color w:val="002060"/>
                <w:sz w:val="28"/>
                <w:szCs w:val="24"/>
              </w:rPr>
              <w:t>On exchange</w:t>
            </w:r>
          </w:p>
        </w:tc>
      </w:tr>
      <w:tr w:rsidR="00D56668" w:rsidRPr="00754FA5" w:rsidTr="00DE6A36">
        <w:tc>
          <w:tcPr>
            <w:tcW w:w="392" w:type="dxa"/>
          </w:tcPr>
          <w:p w:rsidR="00D56668" w:rsidRPr="00F97B0C" w:rsidRDefault="00D56668" w:rsidP="00D635C9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B</w:t>
            </w:r>
          </w:p>
        </w:tc>
        <w:tc>
          <w:tcPr>
            <w:tcW w:w="8850" w:type="dxa"/>
          </w:tcPr>
          <w:p w:rsidR="00D56668" w:rsidRPr="00754FA5" w:rsidRDefault="00754FA5" w:rsidP="00754FA5">
            <w:pPr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Over-the-counter</w:t>
            </w:r>
          </w:p>
        </w:tc>
      </w:tr>
      <w:tr w:rsidR="00D56668" w:rsidRPr="00754FA5" w:rsidTr="00DE6A36">
        <w:tc>
          <w:tcPr>
            <w:tcW w:w="392" w:type="dxa"/>
          </w:tcPr>
          <w:p w:rsidR="00D56668" w:rsidRPr="00F97B0C" w:rsidRDefault="00D56668" w:rsidP="00D635C9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C</w:t>
            </w:r>
          </w:p>
        </w:tc>
        <w:tc>
          <w:tcPr>
            <w:tcW w:w="8850" w:type="dxa"/>
          </w:tcPr>
          <w:p w:rsidR="00D56668" w:rsidRPr="00754FA5" w:rsidRDefault="00754FA5" w:rsidP="00754FA5">
            <w:pPr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Novation</w:t>
            </w:r>
          </w:p>
        </w:tc>
      </w:tr>
      <w:tr w:rsidR="00D56668" w:rsidRPr="00754FA5" w:rsidTr="00893468">
        <w:trPr>
          <w:trHeight w:val="95"/>
        </w:trPr>
        <w:tc>
          <w:tcPr>
            <w:tcW w:w="392" w:type="dxa"/>
          </w:tcPr>
          <w:p w:rsidR="00D56668" w:rsidRPr="00F97B0C" w:rsidRDefault="00D56668" w:rsidP="00D635C9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D</w:t>
            </w:r>
          </w:p>
        </w:tc>
        <w:tc>
          <w:tcPr>
            <w:tcW w:w="8850" w:type="dxa"/>
          </w:tcPr>
          <w:p w:rsidR="00D56668" w:rsidRPr="00754FA5" w:rsidRDefault="00754FA5" w:rsidP="00754FA5">
            <w:pPr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CCP</w:t>
            </w:r>
          </w:p>
        </w:tc>
      </w:tr>
    </w:tbl>
    <w:p w:rsidR="00266071" w:rsidRPr="00754FA5" w:rsidRDefault="00266071" w:rsidP="00754FA5">
      <w:pPr>
        <w:spacing w:after="0" w:line="240" w:lineRule="auto"/>
        <w:rPr>
          <w:color w:val="002060"/>
          <w:sz w:val="28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850"/>
      </w:tblGrid>
      <w:tr w:rsidR="0086198A" w:rsidRPr="00F97B0C" w:rsidTr="00DE6A36">
        <w:tc>
          <w:tcPr>
            <w:tcW w:w="9242" w:type="dxa"/>
            <w:gridSpan w:val="2"/>
          </w:tcPr>
          <w:p w:rsidR="0086198A" w:rsidRPr="00F97B0C" w:rsidRDefault="00F47D58" w:rsidP="00DE1D5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Which of the following statements about options is false;</w:t>
            </w:r>
          </w:p>
        </w:tc>
      </w:tr>
      <w:tr w:rsidR="0086198A" w:rsidRPr="00F97B0C" w:rsidTr="00DE6A36">
        <w:tc>
          <w:tcPr>
            <w:tcW w:w="392" w:type="dxa"/>
          </w:tcPr>
          <w:p w:rsidR="0086198A" w:rsidRPr="00F97B0C" w:rsidRDefault="0086198A" w:rsidP="00D635C9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A</w:t>
            </w:r>
          </w:p>
        </w:tc>
        <w:tc>
          <w:tcPr>
            <w:tcW w:w="8850" w:type="dxa"/>
          </w:tcPr>
          <w:p w:rsidR="0086198A" w:rsidRPr="00F97B0C" w:rsidRDefault="009B6971" w:rsidP="00D635C9">
            <w:pPr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When traded on-exchange, they are subject to standardised terms and sizes</w:t>
            </w:r>
          </w:p>
        </w:tc>
      </w:tr>
      <w:tr w:rsidR="0086198A" w:rsidRPr="00F97B0C" w:rsidTr="00DE6A36">
        <w:tc>
          <w:tcPr>
            <w:tcW w:w="392" w:type="dxa"/>
          </w:tcPr>
          <w:p w:rsidR="0086198A" w:rsidRPr="00F97B0C" w:rsidRDefault="0086198A" w:rsidP="00D635C9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B</w:t>
            </w:r>
          </w:p>
        </w:tc>
        <w:tc>
          <w:tcPr>
            <w:tcW w:w="8850" w:type="dxa"/>
          </w:tcPr>
          <w:p w:rsidR="0086198A" w:rsidRPr="00C26565" w:rsidRDefault="009B6971" w:rsidP="00C26565">
            <w:pPr>
              <w:autoSpaceDE w:val="0"/>
              <w:autoSpaceDN w:val="0"/>
              <w:adjustRightInd w:val="0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They can be traded on-exchange and off-exchange</w:t>
            </w:r>
          </w:p>
        </w:tc>
      </w:tr>
      <w:tr w:rsidR="0086198A" w:rsidRPr="00F97B0C" w:rsidTr="00DE6A36">
        <w:tc>
          <w:tcPr>
            <w:tcW w:w="392" w:type="dxa"/>
          </w:tcPr>
          <w:p w:rsidR="0086198A" w:rsidRPr="00F97B0C" w:rsidRDefault="0086198A" w:rsidP="00D635C9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C</w:t>
            </w:r>
          </w:p>
        </w:tc>
        <w:tc>
          <w:tcPr>
            <w:tcW w:w="8850" w:type="dxa"/>
          </w:tcPr>
          <w:p w:rsidR="0086198A" w:rsidRPr="00F97B0C" w:rsidRDefault="009B6971" w:rsidP="00C26565">
            <w:pPr>
              <w:autoSpaceDE w:val="0"/>
              <w:autoSpaceDN w:val="0"/>
              <w:adjustRightInd w:val="0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The writer of the option is the seller</w:t>
            </w:r>
          </w:p>
        </w:tc>
      </w:tr>
      <w:tr w:rsidR="0086198A" w:rsidRPr="00F97B0C" w:rsidTr="00DE6A36">
        <w:tc>
          <w:tcPr>
            <w:tcW w:w="392" w:type="dxa"/>
          </w:tcPr>
          <w:p w:rsidR="0086198A" w:rsidRPr="00F97B0C" w:rsidRDefault="0086198A" w:rsidP="00D635C9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D</w:t>
            </w:r>
          </w:p>
        </w:tc>
        <w:tc>
          <w:tcPr>
            <w:tcW w:w="8850" w:type="dxa"/>
          </w:tcPr>
          <w:p w:rsidR="0086198A" w:rsidRPr="00F97B0C" w:rsidRDefault="00F47D58" w:rsidP="00D635C9">
            <w:pPr>
              <w:autoSpaceDE w:val="0"/>
              <w:autoSpaceDN w:val="0"/>
              <w:adjustRightInd w:val="0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The holder commits to buying</w:t>
            </w:r>
            <w:r w:rsidR="009B6971">
              <w:rPr>
                <w:color w:val="002060"/>
                <w:sz w:val="28"/>
                <w:szCs w:val="24"/>
              </w:rPr>
              <w:t xml:space="preserve"> or selling</w:t>
            </w:r>
            <w:r>
              <w:rPr>
                <w:color w:val="002060"/>
                <w:sz w:val="28"/>
                <w:szCs w:val="24"/>
              </w:rPr>
              <w:t xml:space="preserve"> the underlying asset</w:t>
            </w:r>
          </w:p>
        </w:tc>
      </w:tr>
    </w:tbl>
    <w:p w:rsidR="00266071" w:rsidRDefault="00266071" w:rsidP="00E7152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850"/>
      </w:tblGrid>
      <w:tr w:rsidR="00C70B2D" w:rsidRPr="00F97B0C" w:rsidTr="00DE6A36">
        <w:tc>
          <w:tcPr>
            <w:tcW w:w="9242" w:type="dxa"/>
            <w:gridSpan w:val="2"/>
          </w:tcPr>
          <w:p w:rsidR="00C70B2D" w:rsidRPr="00C70B2D" w:rsidRDefault="001D70F2" w:rsidP="0026607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1"/>
                <w:szCs w:val="21"/>
              </w:rPr>
            </w:pPr>
            <w:r w:rsidRPr="001D70F2">
              <w:rPr>
                <w:sz w:val="28"/>
                <w:szCs w:val="24"/>
              </w:rPr>
              <w:t>The first options exchange is known as</w:t>
            </w:r>
            <w:r>
              <w:rPr>
                <w:rFonts w:ascii="MyriadPro-Regular" w:hAnsi="MyriadPro-Regular" w:cs="MyriadPro-Regular"/>
                <w:sz w:val="21"/>
                <w:szCs w:val="21"/>
              </w:rPr>
              <w:t>;</w:t>
            </w:r>
          </w:p>
        </w:tc>
      </w:tr>
      <w:tr w:rsidR="00C70B2D" w:rsidRPr="00F97B0C" w:rsidTr="00DE6A36">
        <w:tc>
          <w:tcPr>
            <w:tcW w:w="392" w:type="dxa"/>
          </w:tcPr>
          <w:p w:rsidR="00C70B2D" w:rsidRPr="00F97B0C" w:rsidRDefault="00C70B2D" w:rsidP="00D635C9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A</w:t>
            </w:r>
          </w:p>
        </w:tc>
        <w:tc>
          <w:tcPr>
            <w:tcW w:w="8850" w:type="dxa"/>
          </w:tcPr>
          <w:p w:rsidR="00C70B2D" w:rsidRPr="00F97B0C" w:rsidRDefault="001D70F2" w:rsidP="00D635C9">
            <w:pPr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CBOE</w:t>
            </w:r>
          </w:p>
        </w:tc>
      </w:tr>
      <w:tr w:rsidR="00C70B2D" w:rsidRPr="00F97B0C" w:rsidTr="00DE6A36">
        <w:tc>
          <w:tcPr>
            <w:tcW w:w="392" w:type="dxa"/>
          </w:tcPr>
          <w:p w:rsidR="00C70B2D" w:rsidRPr="00F97B0C" w:rsidRDefault="00C70B2D" w:rsidP="00D635C9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B</w:t>
            </w:r>
          </w:p>
        </w:tc>
        <w:tc>
          <w:tcPr>
            <w:tcW w:w="8850" w:type="dxa"/>
          </w:tcPr>
          <w:p w:rsidR="00C70B2D" w:rsidRPr="00C26565" w:rsidRDefault="001D70F2" w:rsidP="00D635C9">
            <w:pPr>
              <w:autoSpaceDE w:val="0"/>
              <w:autoSpaceDN w:val="0"/>
              <w:adjustRightInd w:val="0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CBOT</w:t>
            </w:r>
          </w:p>
        </w:tc>
      </w:tr>
      <w:tr w:rsidR="00C70B2D" w:rsidRPr="00F97B0C" w:rsidTr="00DE6A36">
        <w:tc>
          <w:tcPr>
            <w:tcW w:w="392" w:type="dxa"/>
          </w:tcPr>
          <w:p w:rsidR="00C70B2D" w:rsidRPr="00F97B0C" w:rsidRDefault="00C70B2D" w:rsidP="00D635C9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C</w:t>
            </w:r>
          </w:p>
        </w:tc>
        <w:tc>
          <w:tcPr>
            <w:tcW w:w="8850" w:type="dxa"/>
          </w:tcPr>
          <w:p w:rsidR="00C70B2D" w:rsidRPr="00F97B0C" w:rsidRDefault="001D70F2" w:rsidP="00A75A33">
            <w:pPr>
              <w:autoSpaceDE w:val="0"/>
              <w:autoSpaceDN w:val="0"/>
              <w:adjustRightInd w:val="0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LSE</w:t>
            </w:r>
          </w:p>
        </w:tc>
      </w:tr>
      <w:tr w:rsidR="00C70B2D" w:rsidRPr="00F97B0C" w:rsidTr="00DE6A36">
        <w:tc>
          <w:tcPr>
            <w:tcW w:w="392" w:type="dxa"/>
          </w:tcPr>
          <w:p w:rsidR="00C70B2D" w:rsidRPr="00F97B0C" w:rsidRDefault="00C70B2D" w:rsidP="00D635C9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D</w:t>
            </w:r>
          </w:p>
        </w:tc>
        <w:tc>
          <w:tcPr>
            <w:tcW w:w="8850" w:type="dxa"/>
          </w:tcPr>
          <w:p w:rsidR="00C70B2D" w:rsidRPr="00F97B0C" w:rsidRDefault="001D70F2" w:rsidP="00A75A33">
            <w:pPr>
              <w:autoSpaceDE w:val="0"/>
              <w:autoSpaceDN w:val="0"/>
              <w:adjustRightInd w:val="0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LME</w:t>
            </w:r>
          </w:p>
        </w:tc>
      </w:tr>
    </w:tbl>
    <w:p w:rsidR="00A75A33" w:rsidRDefault="00A75A33" w:rsidP="00E71528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850"/>
      </w:tblGrid>
      <w:tr w:rsidR="003D6378" w:rsidRPr="00F97B0C" w:rsidTr="009A4087">
        <w:trPr>
          <w:jc w:val="center"/>
        </w:trPr>
        <w:tc>
          <w:tcPr>
            <w:tcW w:w="9242" w:type="dxa"/>
            <w:gridSpan w:val="2"/>
          </w:tcPr>
          <w:p w:rsidR="003D6378" w:rsidRPr="003D6378" w:rsidRDefault="00266071" w:rsidP="009A408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</w:t>
            </w:r>
            <w:r w:rsidR="009A4087">
              <w:rPr>
                <w:sz w:val="28"/>
                <w:szCs w:val="24"/>
              </w:rPr>
              <w:t>If the buyer of a put option does not hold the underlying asset, their position is described as;</w:t>
            </w:r>
          </w:p>
        </w:tc>
      </w:tr>
      <w:tr w:rsidR="00D56668" w:rsidRPr="00F97B0C" w:rsidTr="009A4087">
        <w:trPr>
          <w:jc w:val="center"/>
        </w:trPr>
        <w:tc>
          <w:tcPr>
            <w:tcW w:w="392" w:type="dxa"/>
            <w:vAlign w:val="center"/>
          </w:tcPr>
          <w:p w:rsidR="00D56668" w:rsidRPr="00F97B0C" w:rsidRDefault="00D56668" w:rsidP="00D635C9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A</w:t>
            </w:r>
          </w:p>
        </w:tc>
        <w:tc>
          <w:tcPr>
            <w:tcW w:w="8850" w:type="dxa"/>
            <w:vAlign w:val="center"/>
          </w:tcPr>
          <w:p w:rsidR="00D56668" w:rsidRPr="00D56668" w:rsidRDefault="009A4087" w:rsidP="0089152E">
            <w:pPr>
              <w:spacing w:line="326" w:lineRule="atLeast"/>
              <w:rPr>
                <w:rFonts w:ascii="Arial" w:eastAsia="Times New Roman" w:hAnsi="Arial" w:cs="Arial"/>
                <w:color w:val="002060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kern w:val="24"/>
                <w:sz w:val="24"/>
                <w:szCs w:val="24"/>
              </w:rPr>
              <w:t>Covered</w:t>
            </w:r>
          </w:p>
        </w:tc>
      </w:tr>
      <w:tr w:rsidR="00D56668" w:rsidRPr="00F97B0C" w:rsidTr="009A4087">
        <w:trPr>
          <w:jc w:val="center"/>
        </w:trPr>
        <w:tc>
          <w:tcPr>
            <w:tcW w:w="392" w:type="dxa"/>
            <w:vAlign w:val="center"/>
          </w:tcPr>
          <w:p w:rsidR="00D56668" w:rsidRPr="00F97B0C" w:rsidRDefault="00D56668" w:rsidP="00D635C9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B</w:t>
            </w:r>
          </w:p>
        </w:tc>
        <w:tc>
          <w:tcPr>
            <w:tcW w:w="8850" w:type="dxa"/>
            <w:vAlign w:val="center"/>
          </w:tcPr>
          <w:p w:rsidR="00D56668" w:rsidRPr="00D56668" w:rsidRDefault="009A4087" w:rsidP="0089152E">
            <w:pPr>
              <w:spacing w:line="180" w:lineRule="atLeast"/>
              <w:rPr>
                <w:rFonts w:ascii="Arial" w:eastAsia="Times New Roman" w:hAnsi="Arial" w:cs="Arial"/>
                <w:color w:val="002060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kern w:val="24"/>
                <w:sz w:val="24"/>
                <w:szCs w:val="24"/>
              </w:rPr>
              <w:t>Naked</w:t>
            </w:r>
          </w:p>
        </w:tc>
      </w:tr>
      <w:tr w:rsidR="00D56668" w:rsidRPr="00F97B0C" w:rsidTr="009A4087">
        <w:trPr>
          <w:jc w:val="center"/>
        </w:trPr>
        <w:tc>
          <w:tcPr>
            <w:tcW w:w="392" w:type="dxa"/>
            <w:vAlign w:val="center"/>
          </w:tcPr>
          <w:p w:rsidR="00D56668" w:rsidRPr="00F97B0C" w:rsidRDefault="00D56668" w:rsidP="00D635C9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C</w:t>
            </w:r>
          </w:p>
        </w:tc>
        <w:tc>
          <w:tcPr>
            <w:tcW w:w="8850" w:type="dxa"/>
            <w:vAlign w:val="center"/>
          </w:tcPr>
          <w:p w:rsidR="00D56668" w:rsidRPr="00D56668" w:rsidRDefault="009A4087" w:rsidP="0089152E">
            <w:pPr>
              <w:spacing w:line="180" w:lineRule="atLeast"/>
              <w:rPr>
                <w:rFonts w:ascii="Arial" w:eastAsia="Times New Roman" w:hAnsi="Arial" w:cs="Arial"/>
                <w:color w:val="002060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kern w:val="24"/>
                <w:sz w:val="24"/>
                <w:szCs w:val="24"/>
              </w:rPr>
              <w:t>Closed</w:t>
            </w:r>
          </w:p>
        </w:tc>
      </w:tr>
      <w:tr w:rsidR="00D56668" w:rsidRPr="00F97B0C" w:rsidTr="009A4087">
        <w:trPr>
          <w:jc w:val="center"/>
        </w:trPr>
        <w:tc>
          <w:tcPr>
            <w:tcW w:w="392" w:type="dxa"/>
            <w:vAlign w:val="center"/>
          </w:tcPr>
          <w:p w:rsidR="00D56668" w:rsidRPr="00F97B0C" w:rsidRDefault="00D56668" w:rsidP="00D635C9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D</w:t>
            </w:r>
          </w:p>
        </w:tc>
        <w:tc>
          <w:tcPr>
            <w:tcW w:w="8850" w:type="dxa"/>
            <w:vAlign w:val="center"/>
          </w:tcPr>
          <w:p w:rsidR="00D56668" w:rsidRPr="00D56668" w:rsidRDefault="009A4087" w:rsidP="0089152E">
            <w:pPr>
              <w:spacing w:line="180" w:lineRule="atLeast"/>
              <w:rPr>
                <w:rFonts w:ascii="Arial" w:eastAsia="Times New Roman" w:hAnsi="Arial" w:cs="Arial"/>
                <w:color w:val="002060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kern w:val="24"/>
                <w:sz w:val="24"/>
                <w:szCs w:val="24"/>
              </w:rPr>
              <w:t>Vacant</w:t>
            </w:r>
          </w:p>
        </w:tc>
      </w:tr>
    </w:tbl>
    <w:p w:rsidR="007C2538" w:rsidRDefault="007C2538" w:rsidP="00E71528">
      <w:pPr>
        <w:rPr>
          <w:rFonts w:ascii="Century Gothic" w:hAnsi="Century Gothic" w:cs="Arial"/>
          <w:b/>
          <w:color w:val="000000" w:themeColor="text1"/>
          <w:kern w:val="24"/>
          <w:sz w:val="28"/>
          <w:szCs w:val="24"/>
        </w:rPr>
      </w:pPr>
      <w:bookmarkStart w:id="0" w:name="_GoBack"/>
      <w:bookmarkEnd w:id="0"/>
    </w:p>
    <w:sectPr w:rsidR="007C2538" w:rsidSect="00A637E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F91" w:rsidRDefault="00D90F91" w:rsidP="003A28D7">
      <w:pPr>
        <w:spacing w:after="0" w:line="240" w:lineRule="auto"/>
      </w:pPr>
      <w:r>
        <w:separator/>
      </w:r>
    </w:p>
  </w:endnote>
  <w:endnote w:type="continuationSeparator" w:id="0">
    <w:p w:rsidR="00D90F91" w:rsidRDefault="00D90F91" w:rsidP="003A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F91" w:rsidRDefault="00D90F91" w:rsidP="003A28D7">
      <w:pPr>
        <w:spacing w:after="0" w:line="240" w:lineRule="auto"/>
      </w:pPr>
      <w:r>
        <w:separator/>
      </w:r>
    </w:p>
  </w:footnote>
  <w:footnote w:type="continuationSeparator" w:id="0">
    <w:p w:rsidR="00D90F91" w:rsidRDefault="00D90F91" w:rsidP="003A2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7FF" w:rsidRPr="00642252" w:rsidRDefault="008772E3" w:rsidP="004747FF">
    <w:pPr>
      <w:pStyle w:val="Header"/>
      <w:rPr>
        <w:rFonts w:ascii="Century Gothic" w:hAnsi="Century Gothic"/>
        <w:b/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06B400" wp14:editId="7D34343F">
          <wp:simplePos x="0" y="0"/>
          <wp:positionH relativeFrom="column">
            <wp:posOffset>5389880</wp:posOffset>
          </wp:positionH>
          <wp:positionV relativeFrom="paragraph">
            <wp:posOffset>-260350</wp:posOffset>
          </wp:positionV>
          <wp:extent cx="1021080" cy="495300"/>
          <wp:effectExtent l="0" t="0" r="7620" b="0"/>
          <wp:wrapSquare wrapText="bothSides"/>
          <wp:docPr id="8" name="Picture 8" descr="http://www.icmacentre.ac.uk/images/2013/07/cisi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cmacentre.ac.uk/images/2013/07/cisi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2252" w:rsidRPr="00642252">
      <w:rPr>
        <w:rFonts w:ascii="Century Gothic" w:hAnsi="Century Gothic"/>
        <w:b/>
        <w:sz w:val="24"/>
      </w:rPr>
      <w:t xml:space="preserve">Worksheets – </w:t>
    </w:r>
    <w:r w:rsidR="00893468">
      <w:rPr>
        <w:rFonts w:ascii="Century Gothic" w:hAnsi="Century Gothic"/>
        <w:b/>
        <w:sz w:val="24"/>
      </w:rPr>
      <w:t>Derivatives</w:t>
    </w:r>
    <w:r w:rsidR="004747FF">
      <w:rPr>
        <w:rFonts w:ascii="Century Gothic" w:hAnsi="Century Gothic"/>
        <w:b/>
        <w:sz w:val="24"/>
      </w:rPr>
      <w:t xml:space="preserve"> - </w:t>
    </w:r>
    <w:r w:rsidR="004747FF">
      <w:rPr>
        <w:noProof/>
      </w:rPr>
      <w:drawing>
        <wp:anchor distT="0" distB="0" distL="114300" distR="114300" simplePos="0" relativeHeight="251661312" behindDoc="0" locked="0" layoutInCell="1" allowOverlap="1" wp14:anchorId="56C54354" wp14:editId="68B4E3AD">
          <wp:simplePos x="0" y="0"/>
          <wp:positionH relativeFrom="column">
            <wp:posOffset>5389880</wp:posOffset>
          </wp:positionH>
          <wp:positionV relativeFrom="paragraph">
            <wp:posOffset>-260350</wp:posOffset>
          </wp:positionV>
          <wp:extent cx="1021080" cy="495300"/>
          <wp:effectExtent l="0" t="0" r="7620" b="0"/>
          <wp:wrapSquare wrapText="bothSides"/>
          <wp:docPr id="1" name="Picture 1" descr="http://www.icmacentre.ac.uk/images/2013/07/cisi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cmacentre.ac.uk/images/2013/07/cisi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47FF">
      <w:rPr>
        <w:rFonts w:ascii="Century Gothic" w:hAnsi="Century Gothic"/>
        <w:b/>
        <w:sz w:val="24"/>
      </w:rPr>
      <w:t>Derivative and Commodity Markets</w:t>
    </w:r>
  </w:p>
  <w:p w:rsidR="00DE6A36" w:rsidRPr="00642252" w:rsidRDefault="00DE6A36">
    <w:pPr>
      <w:pStyle w:val="Header"/>
      <w:rPr>
        <w:rFonts w:ascii="Century Gothic" w:hAnsi="Century Gothic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B64"/>
    <w:multiLevelType w:val="hybridMultilevel"/>
    <w:tmpl w:val="354AD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C7153"/>
    <w:multiLevelType w:val="hybridMultilevel"/>
    <w:tmpl w:val="914C8F44"/>
    <w:lvl w:ilvl="0" w:tplc="A88EF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9807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D0F0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E06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ECE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BE9F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4281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0D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3253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A234B"/>
    <w:multiLevelType w:val="hybridMultilevel"/>
    <w:tmpl w:val="F8A0D78E"/>
    <w:lvl w:ilvl="0" w:tplc="DAC65E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9012A"/>
    <w:multiLevelType w:val="hybridMultilevel"/>
    <w:tmpl w:val="C562F916"/>
    <w:lvl w:ilvl="0" w:tplc="806C297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9577B6"/>
    <w:multiLevelType w:val="hybridMultilevel"/>
    <w:tmpl w:val="CBCE4AD4"/>
    <w:lvl w:ilvl="0" w:tplc="2DBE5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0220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1001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DA6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E3D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20CA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FA5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9F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B4A3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671A50"/>
    <w:multiLevelType w:val="hybridMultilevel"/>
    <w:tmpl w:val="50D21FF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316371"/>
    <w:multiLevelType w:val="hybridMultilevel"/>
    <w:tmpl w:val="C93CB42E"/>
    <w:lvl w:ilvl="0" w:tplc="DAC65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CA12C9"/>
    <w:multiLevelType w:val="hybridMultilevel"/>
    <w:tmpl w:val="B50074A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3D514A7"/>
    <w:multiLevelType w:val="hybridMultilevel"/>
    <w:tmpl w:val="EA94E7D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FE"/>
    <w:rsid w:val="00016FEA"/>
    <w:rsid w:val="0005133A"/>
    <w:rsid w:val="00056EBB"/>
    <w:rsid w:val="00063D62"/>
    <w:rsid w:val="000907F5"/>
    <w:rsid w:val="000A33AE"/>
    <w:rsid w:val="000C16FE"/>
    <w:rsid w:val="000C2D73"/>
    <w:rsid w:val="000D16CC"/>
    <w:rsid w:val="000D2DCD"/>
    <w:rsid w:val="000E2886"/>
    <w:rsid w:val="000F717F"/>
    <w:rsid w:val="001057D0"/>
    <w:rsid w:val="00107AB4"/>
    <w:rsid w:val="00115621"/>
    <w:rsid w:val="00117A4F"/>
    <w:rsid w:val="001214A1"/>
    <w:rsid w:val="00130B4E"/>
    <w:rsid w:val="00150F07"/>
    <w:rsid w:val="001612DB"/>
    <w:rsid w:val="00170F53"/>
    <w:rsid w:val="001A67DE"/>
    <w:rsid w:val="001B0D77"/>
    <w:rsid w:val="001C20F8"/>
    <w:rsid w:val="001D3679"/>
    <w:rsid w:val="001D70F2"/>
    <w:rsid w:val="001F63C0"/>
    <w:rsid w:val="002119B4"/>
    <w:rsid w:val="0021439E"/>
    <w:rsid w:val="002143A5"/>
    <w:rsid w:val="00217CF9"/>
    <w:rsid w:val="00220712"/>
    <w:rsid w:val="00221F9E"/>
    <w:rsid w:val="00242E36"/>
    <w:rsid w:val="0025685B"/>
    <w:rsid w:val="00260721"/>
    <w:rsid w:val="00266071"/>
    <w:rsid w:val="002B0C1D"/>
    <w:rsid w:val="003353D0"/>
    <w:rsid w:val="0037285F"/>
    <w:rsid w:val="00386739"/>
    <w:rsid w:val="003913B8"/>
    <w:rsid w:val="00393D83"/>
    <w:rsid w:val="003950E5"/>
    <w:rsid w:val="003A28D7"/>
    <w:rsid w:val="003B310C"/>
    <w:rsid w:val="003C6DEF"/>
    <w:rsid w:val="003C78AC"/>
    <w:rsid w:val="003D0601"/>
    <w:rsid w:val="003D6378"/>
    <w:rsid w:val="003F01F1"/>
    <w:rsid w:val="003F247F"/>
    <w:rsid w:val="00402A36"/>
    <w:rsid w:val="004141AA"/>
    <w:rsid w:val="00446AA0"/>
    <w:rsid w:val="004633FC"/>
    <w:rsid w:val="004747FF"/>
    <w:rsid w:val="004759C8"/>
    <w:rsid w:val="00482668"/>
    <w:rsid w:val="00494763"/>
    <w:rsid w:val="004A0465"/>
    <w:rsid w:val="004A430B"/>
    <w:rsid w:val="004D6A95"/>
    <w:rsid w:val="004E1007"/>
    <w:rsid w:val="004E3A6D"/>
    <w:rsid w:val="0050395D"/>
    <w:rsid w:val="00521962"/>
    <w:rsid w:val="00527797"/>
    <w:rsid w:val="00545111"/>
    <w:rsid w:val="00574261"/>
    <w:rsid w:val="005A1B58"/>
    <w:rsid w:val="005B7DEC"/>
    <w:rsid w:val="005C3B2A"/>
    <w:rsid w:val="005F6130"/>
    <w:rsid w:val="006014C7"/>
    <w:rsid w:val="00611A66"/>
    <w:rsid w:val="00613FD8"/>
    <w:rsid w:val="0061417F"/>
    <w:rsid w:val="00614A5B"/>
    <w:rsid w:val="00642252"/>
    <w:rsid w:val="00654F0D"/>
    <w:rsid w:val="00673C45"/>
    <w:rsid w:val="006808F1"/>
    <w:rsid w:val="00682D25"/>
    <w:rsid w:val="0068580A"/>
    <w:rsid w:val="00693597"/>
    <w:rsid w:val="006A6B39"/>
    <w:rsid w:val="006B4D32"/>
    <w:rsid w:val="006C676D"/>
    <w:rsid w:val="006D3471"/>
    <w:rsid w:val="006E18F4"/>
    <w:rsid w:val="00703E76"/>
    <w:rsid w:val="00716DB8"/>
    <w:rsid w:val="00717F99"/>
    <w:rsid w:val="007364EA"/>
    <w:rsid w:val="00754FA5"/>
    <w:rsid w:val="00763E34"/>
    <w:rsid w:val="00766706"/>
    <w:rsid w:val="007A1C7D"/>
    <w:rsid w:val="007B1E36"/>
    <w:rsid w:val="007C2538"/>
    <w:rsid w:val="007C4FFB"/>
    <w:rsid w:val="007D2B55"/>
    <w:rsid w:val="007E1B45"/>
    <w:rsid w:val="00824F4B"/>
    <w:rsid w:val="008348C4"/>
    <w:rsid w:val="0086198A"/>
    <w:rsid w:val="008772E3"/>
    <w:rsid w:val="008871DC"/>
    <w:rsid w:val="00893468"/>
    <w:rsid w:val="0089687A"/>
    <w:rsid w:val="008A74AA"/>
    <w:rsid w:val="00905BD8"/>
    <w:rsid w:val="00907122"/>
    <w:rsid w:val="009212FE"/>
    <w:rsid w:val="009300A1"/>
    <w:rsid w:val="009328AB"/>
    <w:rsid w:val="009439CE"/>
    <w:rsid w:val="00946432"/>
    <w:rsid w:val="00950FBE"/>
    <w:rsid w:val="009642F3"/>
    <w:rsid w:val="00974C6F"/>
    <w:rsid w:val="009963C1"/>
    <w:rsid w:val="009A4087"/>
    <w:rsid w:val="009B085D"/>
    <w:rsid w:val="009B6971"/>
    <w:rsid w:val="009C56E2"/>
    <w:rsid w:val="009F1F97"/>
    <w:rsid w:val="00A04E35"/>
    <w:rsid w:val="00A1063E"/>
    <w:rsid w:val="00A15776"/>
    <w:rsid w:val="00A4475D"/>
    <w:rsid w:val="00A46BF0"/>
    <w:rsid w:val="00A53093"/>
    <w:rsid w:val="00A637E6"/>
    <w:rsid w:val="00A75A33"/>
    <w:rsid w:val="00A90588"/>
    <w:rsid w:val="00A90980"/>
    <w:rsid w:val="00A94829"/>
    <w:rsid w:val="00A96747"/>
    <w:rsid w:val="00AA218E"/>
    <w:rsid w:val="00AE2CD4"/>
    <w:rsid w:val="00AE4ED8"/>
    <w:rsid w:val="00B710BA"/>
    <w:rsid w:val="00B930A0"/>
    <w:rsid w:val="00BA5518"/>
    <w:rsid w:val="00BC02BC"/>
    <w:rsid w:val="00BC4E41"/>
    <w:rsid w:val="00C02179"/>
    <w:rsid w:val="00C12DEA"/>
    <w:rsid w:val="00C26565"/>
    <w:rsid w:val="00C303E5"/>
    <w:rsid w:val="00C509D6"/>
    <w:rsid w:val="00C70B2D"/>
    <w:rsid w:val="00C77A02"/>
    <w:rsid w:val="00C8348F"/>
    <w:rsid w:val="00C913C0"/>
    <w:rsid w:val="00CE0E10"/>
    <w:rsid w:val="00CE37DF"/>
    <w:rsid w:val="00CE5391"/>
    <w:rsid w:val="00CF2B9A"/>
    <w:rsid w:val="00CF410D"/>
    <w:rsid w:val="00D1019B"/>
    <w:rsid w:val="00D128CE"/>
    <w:rsid w:val="00D1365A"/>
    <w:rsid w:val="00D14A45"/>
    <w:rsid w:val="00D56668"/>
    <w:rsid w:val="00D5791D"/>
    <w:rsid w:val="00D635C9"/>
    <w:rsid w:val="00D8023C"/>
    <w:rsid w:val="00D90F91"/>
    <w:rsid w:val="00D92C2D"/>
    <w:rsid w:val="00DB53DD"/>
    <w:rsid w:val="00DD1CBC"/>
    <w:rsid w:val="00DD6376"/>
    <w:rsid w:val="00DE1D56"/>
    <w:rsid w:val="00DE6A36"/>
    <w:rsid w:val="00E32089"/>
    <w:rsid w:val="00E46BD0"/>
    <w:rsid w:val="00E52EC3"/>
    <w:rsid w:val="00E71528"/>
    <w:rsid w:val="00E72D4A"/>
    <w:rsid w:val="00E85350"/>
    <w:rsid w:val="00E87DF2"/>
    <w:rsid w:val="00EA3DBB"/>
    <w:rsid w:val="00EB1C2F"/>
    <w:rsid w:val="00EC07D5"/>
    <w:rsid w:val="00EC3891"/>
    <w:rsid w:val="00ED0054"/>
    <w:rsid w:val="00ED4ADE"/>
    <w:rsid w:val="00EE2982"/>
    <w:rsid w:val="00F11541"/>
    <w:rsid w:val="00F128A1"/>
    <w:rsid w:val="00F26746"/>
    <w:rsid w:val="00F47D58"/>
    <w:rsid w:val="00F81A56"/>
    <w:rsid w:val="00F85507"/>
    <w:rsid w:val="00F97B0C"/>
    <w:rsid w:val="00FE0799"/>
    <w:rsid w:val="00FE69FC"/>
    <w:rsid w:val="00FF0F60"/>
    <w:rsid w:val="00F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3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8D7"/>
  </w:style>
  <w:style w:type="paragraph" w:styleId="Footer">
    <w:name w:val="footer"/>
    <w:basedOn w:val="Normal"/>
    <w:link w:val="FooterChar"/>
    <w:uiPriority w:val="99"/>
    <w:unhideWhenUsed/>
    <w:rsid w:val="003A2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8D7"/>
  </w:style>
  <w:style w:type="paragraph" w:styleId="NormalWeb">
    <w:name w:val="Normal (Web)"/>
    <w:basedOn w:val="Normal"/>
    <w:uiPriority w:val="99"/>
    <w:semiHidden/>
    <w:unhideWhenUsed/>
    <w:rsid w:val="006422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3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8D7"/>
  </w:style>
  <w:style w:type="paragraph" w:styleId="Footer">
    <w:name w:val="footer"/>
    <w:basedOn w:val="Normal"/>
    <w:link w:val="FooterChar"/>
    <w:uiPriority w:val="99"/>
    <w:unhideWhenUsed/>
    <w:rsid w:val="003A2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8D7"/>
  </w:style>
  <w:style w:type="paragraph" w:styleId="NormalWeb">
    <w:name w:val="Normal (Web)"/>
    <w:basedOn w:val="Normal"/>
    <w:uiPriority w:val="99"/>
    <w:semiHidden/>
    <w:unhideWhenUsed/>
    <w:rsid w:val="006422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3B9AA-D160-4106-B50D-BE38D6ED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Bolton</dc:creator>
  <cp:lastModifiedBy>Matthew Bolton</cp:lastModifiedBy>
  <cp:revision>4</cp:revision>
  <cp:lastPrinted>2015-03-10T09:58:00Z</cp:lastPrinted>
  <dcterms:created xsi:type="dcterms:W3CDTF">2015-08-05T16:12:00Z</dcterms:created>
  <dcterms:modified xsi:type="dcterms:W3CDTF">2015-08-06T09:10:00Z</dcterms:modified>
</cp:coreProperties>
</file>