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contextualSpacing/>
        <w:jc w:val="center"/>
        <w:rPr>
          <w:b/>
          <w:sz w:val="28"/>
        </w:rPr>
      </w:pPr>
      <w:r>
        <w:rPr>
          <w:b/>
          <w:sz w:val="28"/>
        </w:rPr>
        <w:t>Cleeve Park – Governor Impact Statement. 2017 -2018</w:t>
      </w:r>
    </w:p>
    <w:p>
      <w:pPr>
        <w:contextualSpacing/>
      </w:pPr>
    </w:p>
    <w:p>
      <w:pPr>
        <w:contextualSpacing/>
        <w:rPr>
          <w:b/>
        </w:rPr>
      </w:pPr>
      <w:r>
        <w:rPr>
          <w:b/>
        </w:rPr>
        <w:t>Governance at Cleeve Park within TKAT</w:t>
      </w:r>
    </w:p>
    <w:p>
      <w:pPr>
        <w:contextualSpacing/>
      </w:pPr>
    </w:p>
    <w:p>
      <w:pPr>
        <w:contextualSpacing/>
      </w:pPr>
      <w:r>
        <w:t>Cleeve Park is part of TKAT, a multi academy trust. The trust is a charity and its board of trustees must ensure that it complies with its charitable objects which relate to the provision of education in its schools. As such it is the trust board which is accountable for the performance of the schools in the trust, and in turn, it is held to account by the Depa</w:t>
      </w:r>
      <w:bookmarkStart w:id="0" w:name="_GoBack"/>
      <w:bookmarkEnd w:id="0"/>
      <w:r>
        <w:t>rtment for Education. The trust can choose to appoint committees for each of its academies and where it does so, these are known as a local governing body or LGB. The LGB’s responsibilities are set out in a document known as the Scheme of Delegation, which is available on TKAT’s and Maldon Primary School’s websites.</w:t>
      </w:r>
    </w:p>
    <w:p>
      <w:pPr>
        <w:contextualSpacing/>
      </w:pPr>
    </w:p>
    <w:p>
      <w:pPr>
        <w:contextualSpacing/>
      </w:pPr>
      <w:r>
        <w:t xml:space="preserve">2017 -2018 was a challenging year for Cleeve Park’s LGB.  The experienced Chair of Governors was on compassionate leave at the same time the Executive </w:t>
      </w:r>
      <w:proofErr w:type="spellStart"/>
      <w:r>
        <w:t>Headteacher</w:t>
      </w:r>
      <w:proofErr w:type="spellEnd"/>
      <w:r>
        <w:t xml:space="preserve"> was required to provide significant support for a number of other schools.  As a consequence, the LGB was not able to provide the challenge and support that the new leadership at the school need.  This contributed to the disappointing </w:t>
      </w:r>
      <w:proofErr w:type="spellStart"/>
      <w:r>
        <w:t>OfSTED</w:t>
      </w:r>
      <w:proofErr w:type="spellEnd"/>
      <w:r>
        <w:t xml:space="preserve"> and 2018 outcomes. </w:t>
      </w:r>
    </w:p>
    <w:p>
      <w:pPr>
        <w:contextualSpacing/>
      </w:pPr>
    </w:p>
    <w:p>
      <w:pPr>
        <w:contextualSpacing/>
      </w:pPr>
    </w:p>
    <w:p>
      <w:pPr>
        <w:contextualSpacing/>
      </w:pPr>
      <w:r>
        <w:t>Nevertheless Governors have used their specific skills and experience for the benefit of the school in a number of areas and the response to the disappointment has be speedy and robust.</w:t>
      </w:r>
    </w:p>
    <w:p>
      <w:pPr>
        <w:contextualSpacing/>
      </w:pPr>
    </w:p>
    <w:p>
      <w:pPr>
        <w:pStyle w:val="ListParagraph"/>
        <w:numPr>
          <w:ilvl w:val="0"/>
          <w:numId w:val="1"/>
        </w:numPr>
        <w:rPr>
          <w:b/>
        </w:rPr>
      </w:pPr>
      <w:r>
        <w:rPr>
          <w:b/>
        </w:rPr>
        <w:t>Ensuring clarity of vision, ethos and strategic direction</w:t>
      </w:r>
    </w:p>
    <w:p>
      <w:pPr>
        <w:contextualSpacing/>
      </w:pPr>
      <w:r>
        <w:t>Cleeve Park School fully embraces TKAT’s vision for the trust which is Inspiring Learners, Changing Lives.</w:t>
      </w:r>
    </w:p>
    <w:p>
      <w:pPr>
        <w:contextualSpacing/>
      </w:pPr>
    </w:p>
    <w:p>
      <w:pPr>
        <w:contextualSpacing/>
        <w:rPr>
          <w:rFonts w:ascii="Calibri" w:hAnsi="Calibri" w:cs="Calibri"/>
          <w:color w:val="000000"/>
          <w:sz w:val="23"/>
          <w:szCs w:val="23"/>
        </w:rPr>
      </w:pPr>
      <w:r>
        <w:rPr>
          <w:rFonts w:ascii="Calibri" w:hAnsi="Calibri" w:cs="Calibri"/>
          <w:color w:val="000000"/>
          <w:sz w:val="23"/>
          <w:szCs w:val="23"/>
        </w:rPr>
        <w:t>Our vision is - To provide an excellent education for all our students</w:t>
      </w:r>
    </w:p>
    <w:p>
      <w:pPr>
        <w:contextualSpacing/>
        <w:rPr>
          <w:rFonts w:ascii="Calibri" w:hAnsi="Calibri" w:cs="Calibri"/>
          <w:color w:val="000000"/>
          <w:sz w:val="23"/>
          <w:szCs w:val="23"/>
        </w:rPr>
      </w:pPr>
      <w:r>
        <w:rPr>
          <w:rFonts w:ascii="Calibri" w:hAnsi="Calibri" w:cs="Calibri"/>
          <w:color w:val="000000"/>
          <w:sz w:val="23"/>
          <w:szCs w:val="23"/>
        </w:rPr>
        <w:t>Our mission statement - Commitment, Pride, Success:</w:t>
      </w:r>
    </w:p>
    <w:p>
      <w:pPr>
        <w:ind w:firstLine="720"/>
        <w:contextualSpacing/>
        <w:rPr>
          <w:rFonts w:ascii="Calibri" w:hAnsi="Calibri" w:cs="Calibri"/>
          <w:color w:val="000000"/>
          <w:sz w:val="23"/>
          <w:szCs w:val="23"/>
        </w:rPr>
      </w:pPr>
      <w:r>
        <w:rPr>
          <w:rFonts w:ascii="Calibri" w:hAnsi="Calibri" w:cs="Calibri"/>
          <w:color w:val="000000"/>
          <w:sz w:val="23"/>
          <w:szCs w:val="23"/>
        </w:rPr>
        <w:t>Commitment to learning; Pride in ourselves and our community; Success in all we do.</w:t>
      </w:r>
    </w:p>
    <w:p>
      <w:pPr>
        <w:contextualSpacing/>
        <w:rPr>
          <w:rFonts w:ascii="Calibri" w:hAnsi="Calibri" w:cs="Calibri"/>
          <w:color w:val="000000"/>
          <w:sz w:val="23"/>
          <w:szCs w:val="23"/>
        </w:rPr>
      </w:pPr>
    </w:p>
    <w:p>
      <w:pPr>
        <w:contextualSpacing/>
        <w:rPr>
          <w:rFonts w:ascii="Calibri" w:hAnsi="Calibri" w:cs="Calibri"/>
          <w:color w:val="000000"/>
          <w:sz w:val="23"/>
          <w:szCs w:val="23"/>
        </w:rPr>
      </w:pPr>
      <w:r>
        <w:rPr>
          <w:rFonts w:ascii="Calibri" w:hAnsi="Calibri" w:cs="Calibri"/>
          <w:color w:val="000000"/>
          <w:sz w:val="23"/>
          <w:szCs w:val="23"/>
        </w:rPr>
        <w:t>We Aim to:</w:t>
      </w:r>
    </w:p>
    <w:p>
      <w:pPr>
        <w:pStyle w:val="ListParagraph"/>
        <w:numPr>
          <w:ilvl w:val="0"/>
          <w:numId w:val="3"/>
        </w:numPr>
        <w:rPr>
          <w:rFonts w:ascii="Calibri" w:hAnsi="Calibri" w:cs="Calibri"/>
          <w:color w:val="000000"/>
          <w:sz w:val="23"/>
          <w:szCs w:val="23"/>
        </w:rPr>
      </w:pPr>
      <w:r>
        <w:rPr>
          <w:rFonts w:ascii="Calibri" w:hAnsi="Calibri" w:cs="Calibri"/>
          <w:color w:val="000000"/>
          <w:sz w:val="23"/>
          <w:szCs w:val="23"/>
        </w:rPr>
        <w:t>To create a place of learning where excellence is sought in every sphere</w:t>
      </w:r>
    </w:p>
    <w:p>
      <w:pPr>
        <w:pStyle w:val="ListParagraph"/>
        <w:numPr>
          <w:ilvl w:val="0"/>
          <w:numId w:val="3"/>
        </w:numPr>
        <w:rPr>
          <w:rFonts w:ascii="Calibri" w:hAnsi="Calibri" w:cs="Calibri"/>
          <w:color w:val="000000"/>
          <w:sz w:val="23"/>
          <w:szCs w:val="23"/>
        </w:rPr>
      </w:pPr>
      <w:r>
        <w:rPr>
          <w:rFonts w:ascii="Calibri" w:hAnsi="Calibri" w:cs="Calibri"/>
          <w:color w:val="000000"/>
          <w:sz w:val="23"/>
          <w:szCs w:val="23"/>
        </w:rPr>
        <w:t>To provide a stimulating environment and lessons which show pupils that learning is exciting and worthwhile as a life-long activity</w:t>
      </w:r>
    </w:p>
    <w:p>
      <w:pPr>
        <w:pStyle w:val="ListParagraph"/>
        <w:numPr>
          <w:ilvl w:val="0"/>
          <w:numId w:val="3"/>
        </w:numPr>
        <w:rPr>
          <w:rFonts w:ascii="Calibri" w:hAnsi="Calibri" w:cs="Calibri"/>
          <w:color w:val="000000"/>
          <w:sz w:val="23"/>
          <w:szCs w:val="23"/>
        </w:rPr>
      </w:pPr>
      <w:r>
        <w:rPr>
          <w:rFonts w:ascii="Calibri" w:hAnsi="Calibri" w:cs="Calibri"/>
          <w:color w:val="000000"/>
          <w:sz w:val="23"/>
          <w:szCs w:val="23"/>
        </w:rPr>
        <w:t>To encourage methods of learning which depend upon pupil activity and the development of learning and research skills</w:t>
      </w:r>
    </w:p>
    <w:p>
      <w:pPr>
        <w:pStyle w:val="ListParagraph"/>
        <w:numPr>
          <w:ilvl w:val="0"/>
          <w:numId w:val="3"/>
        </w:numPr>
        <w:rPr>
          <w:rFonts w:ascii="Calibri" w:hAnsi="Calibri" w:cs="Calibri"/>
          <w:color w:val="000000"/>
          <w:sz w:val="23"/>
          <w:szCs w:val="23"/>
        </w:rPr>
      </w:pPr>
      <w:r>
        <w:rPr>
          <w:rFonts w:ascii="Calibri" w:hAnsi="Calibri" w:cs="Calibri"/>
          <w:color w:val="000000"/>
          <w:sz w:val="23"/>
          <w:szCs w:val="23"/>
        </w:rPr>
        <w:t>To provide courses which are appropriate to life in contemporary society</w:t>
      </w:r>
    </w:p>
    <w:p>
      <w:pPr>
        <w:pStyle w:val="ListParagraph"/>
        <w:numPr>
          <w:ilvl w:val="0"/>
          <w:numId w:val="3"/>
        </w:numPr>
        <w:rPr>
          <w:rFonts w:ascii="Calibri" w:hAnsi="Calibri" w:cs="Calibri"/>
          <w:color w:val="000000"/>
          <w:sz w:val="23"/>
          <w:szCs w:val="23"/>
        </w:rPr>
      </w:pPr>
      <w:r>
        <w:rPr>
          <w:rFonts w:ascii="Calibri" w:hAnsi="Calibri" w:cs="Calibri"/>
          <w:color w:val="000000"/>
          <w:sz w:val="23"/>
          <w:szCs w:val="23"/>
        </w:rPr>
        <w:t>To prepare pupils for responsible adulthood – in the family, in the workplace and in the community</w:t>
      </w:r>
    </w:p>
    <w:p>
      <w:pPr>
        <w:pStyle w:val="ListParagraph"/>
        <w:numPr>
          <w:ilvl w:val="0"/>
          <w:numId w:val="3"/>
        </w:numPr>
        <w:rPr>
          <w:rFonts w:ascii="Calibri" w:hAnsi="Calibri" w:cs="Calibri"/>
          <w:color w:val="000000"/>
          <w:sz w:val="23"/>
          <w:szCs w:val="23"/>
        </w:rPr>
      </w:pPr>
      <w:r>
        <w:rPr>
          <w:rFonts w:ascii="Calibri" w:hAnsi="Calibri" w:cs="Calibri"/>
          <w:color w:val="000000"/>
          <w:sz w:val="23"/>
          <w:szCs w:val="23"/>
        </w:rPr>
        <w:t>To help pupils develop a wide range of interests</w:t>
      </w:r>
    </w:p>
    <w:p>
      <w:pPr>
        <w:pStyle w:val="ListParagraph"/>
        <w:numPr>
          <w:ilvl w:val="0"/>
          <w:numId w:val="3"/>
        </w:numPr>
        <w:rPr>
          <w:rFonts w:ascii="Calibri" w:hAnsi="Calibri" w:cs="Calibri"/>
          <w:color w:val="000000"/>
          <w:sz w:val="23"/>
          <w:szCs w:val="23"/>
        </w:rPr>
      </w:pPr>
      <w:r>
        <w:rPr>
          <w:rFonts w:ascii="Calibri" w:hAnsi="Calibri" w:cs="Calibri"/>
          <w:color w:val="000000"/>
          <w:sz w:val="23"/>
          <w:szCs w:val="23"/>
        </w:rPr>
        <w:t>To help pupils recognise the value of honesty, courtesy, helpfulness and self-discipline</w:t>
      </w:r>
    </w:p>
    <w:p>
      <w:pPr>
        <w:pStyle w:val="ListParagraph"/>
        <w:numPr>
          <w:ilvl w:val="0"/>
          <w:numId w:val="3"/>
        </w:numPr>
      </w:pPr>
      <w:r>
        <w:rPr>
          <w:rFonts w:ascii="Calibri" w:hAnsi="Calibri" w:cs="Calibri"/>
          <w:color w:val="000000"/>
          <w:sz w:val="23"/>
          <w:szCs w:val="23"/>
        </w:rPr>
        <w:t>To help pupils value the spiritual and aesthetic dimensions of life</w:t>
      </w:r>
    </w:p>
    <w:p>
      <w:pPr>
        <w:contextualSpacing/>
        <w:rPr>
          <w:b/>
        </w:rPr>
      </w:pPr>
    </w:p>
    <w:p>
      <w:pPr>
        <w:contextualSpacing/>
      </w:pPr>
      <w:r>
        <w:lastRenderedPageBreak/>
        <w:t>As part of their strategic role the Governors have actively supported the development of Cleeve Meadow, a co-located Special School which is being built on the Cleeve Park site.</w:t>
      </w:r>
    </w:p>
    <w:p>
      <w:pPr>
        <w:contextualSpacing/>
        <w:rPr>
          <w:b/>
        </w:rPr>
      </w:pPr>
    </w:p>
    <w:p>
      <w:pPr>
        <w:contextualSpacing/>
        <w:rPr>
          <w:b/>
        </w:rPr>
      </w:pPr>
      <w:r>
        <w:rPr>
          <w:b/>
        </w:rPr>
        <w:t xml:space="preserve">2. Holding the </w:t>
      </w:r>
      <w:proofErr w:type="spellStart"/>
      <w:r>
        <w:rPr>
          <w:b/>
        </w:rPr>
        <w:t>headteacher</w:t>
      </w:r>
      <w:proofErr w:type="spellEnd"/>
      <w:r>
        <w:rPr>
          <w:b/>
        </w:rPr>
        <w:t xml:space="preserve"> to account for the educational performance of the school and its</w:t>
      </w:r>
    </w:p>
    <w:p>
      <w:pPr>
        <w:contextualSpacing/>
        <w:rPr>
          <w:b/>
        </w:rPr>
      </w:pPr>
      <w:r>
        <w:rPr>
          <w:b/>
        </w:rPr>
        <w:t>pupils, and the performance management of staff</w:t>
      </w:r>
    </w:p>
    <w:p>
      <w:pPr>
        <w:contextualSpacing/>
      </w:pPr>
    </w:p>
    <w:p>
      <w:pPr>
        <w:contextualSpacing/>
      </w:pPr>
      <w:r>
        <w:t>The 2018 outcomes for pupils were a disappointment in some areas.  Governors have reviewed their monitoring and challenge processes. Governors did hold the school to account for the implementation of the school improvement plan.</w:t>
      </w:r>
    </w:p>
    <w:p>
      <w:pPr>
        <w:contextualSpacing/>
        <w:rPr>
          <w:sz w:val="23"/>
          <w:szCs w:val="23"/>
        </w:rPr>
      </w:pPr>
    </w:p>
    <w:p>
      <w:pPr>
        <w:contextualSpacing/>
        <w:rPr>
          <w:sz w:val="23"/>
          <w:szCs w:val="23"/>
        </w:rPr>
      </w:pPr>
      <w:r>
        <w:rPr>
          <w:sz w:val="23"/>
          <w:szCs w:val="23"/>
        </w:rPr>
        <w:t xml:space="preserve">Performance management. Staff performance is managed in line with TKAT’s pay and appraisal policies. The </w:t>
      </w:r>
      <w:proofErr w:type="spellStart"/>
      <w:r>
        <w:rPr>
          <w:sz w:val="23"/>
          <w:szCs w:val="23"/>
        </w:rPr>
        <w:t>headteacher’s</w:t>
      </w:r>
      <w:proofErr w:type="spellEnd"/>
      <w:r>
        <w:rPr>
          <w:sz w:val="23"/>
          <w:szCs w:val="23"/>
        </w:rPr>
        <w:t xml:space="preserve"> targets were set with TKAT’s Deputy CEO</w:t>
      </w:r>
    </w:p>
    <w:p>
      <w:pPr>
        <w:contextualSpacing/>
      </w:pPr>
    </w:p>
    <w:p>
      <w:pPr>
        <w:contextualSpacing/>
        <w:rPr>
          <w:b/>
        </w:rPr>
      </w:pPr>
      <w:r>
        <w:rPr>
          <w:b/>
        </w:rPr>
        <w:t>3. Overseeing the financial performance of the school and making sure its money is well</w:t>
      </w:r>
    </w:p>
    <w:p>
      <w:pPr>
        <w:contextualSpacing/>
        <w:rPr>
          <w:b/>
        </w:rPr>
      </w:pPr>
      <w:r>
        <w:rPr>
          <w:b/>
        </w:rPr>
        <w:t>spent.</w:t>
      </w:r>
    </w:p>
    <w:p>
      <w:pPr>
        <w:contextualSpacing/>
      </w:pPr>
    </w:p>
    <w:p>
      <w:pPr>
        <w:contextualSpacing/>
      </w:pPr>
      <w:r>
        <w:t>The School has a balanced budget. Cost pressures mean that the budget for 2018-2019 continues to be challenging and Governors are continuing to monitor expenditure very closely.</w:t>
      </w:r>
    </w:p>
    <w:p>
      <w:pPr>
        <w:contextualSpacing/>
      </w:pPr>
    </w:p>
    <w:p>
      <w:pPr>
        <w:contextualSpacing/>
      </w:pPr>
    </w:p>
    <w:p>
      <w:pPr>
        <w:contextualSpacing/>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53B09"/>
    <w:multiLevelType w:val="hybridMultilevel"/>
    <w:tmpl w:val="1FC8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85FB4"/>
    <w:multiLevelType w:val="hybridMultilevel"/>
    <w:tmpl w:val="4024EF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EB28AB"/>
    <w:multiLevelType w:val="hybridMultilevel"/>
    <w:tmpl w:val="DB42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2B416-F49B-4BA6-B43D-499AE190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Linsell</dc:creator>
  <cp:keywords/>
  <dc:description/>
  <cp:lastModifiedBy>Ockelford</cp:lastModifiedBy>
  <cp:revision>2</cp:revision>
  <dcterms:created xsi:type="dcterms:W3CDTF">2019-02-05T10:10:00Z</dcterms:created>
  <dcterms:modified xsi:type="dcterms:W3CDTF">2019-02-05T10:10:00Z</dcterms:modified>
</cp:coreProperties>
</file>